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DB" w:rsidRDefault="00170ADB" w:rsidP="00170ADB">
      <w:pPr>
        <w:rPr>
          <w:b/>
          <w:sz w:val="28"/>
          <w:szCs w:val="28"/>
        </w:rPr>
      </w:pPr>
      <w:r>
        <w:rPr>
          <w:b/>
          <w:sz w:val="28"/>
          <w:szCs w:val="28"/>
        </w:rPr>
        <w:t xml:space="preserve">Pension Fund Committee </w:t>
      </w:r>
    </w:p>
    <w:p w:rsidR="00170ADB" w:rsidRDefault="00170ADB" w:rsidP="00170ADB">
      <w:r>
        <w:t xml:space="preserve"> </w:t>
      </w:r>
    </w:p>
    <w:p w:rsidR="00170ADB" w:rsidRDefault="00170ADB" w:rsidP="00170ADB">
      <w:pPr>
        <w:pStyle w:val="Body"/>
        <w:rPr>
          <w:rFonts w:ascii="TT5555F0o00" w:eastAsia="TT5555F0o00" w:hAnsi="TT5555F0o00" w:cs="TT5555F0o00"/>
          <w:lang w:val="en-US"/>
        </w:rPr>
      </w:pPr>
      <w:r>
        <w:rPr>
          <w:rFonts w:ascii="TT5555F0o00" w:eastAsia="TT5555F0o00" w:hAnsi="TT5555F0o00" w:cs="TT5555F0o00"/>
          <w:lang w:val="en-US"/>
        </w:rPr>
        <w:t>Composition and role</w:t>
      </w:r>
    </w:p>
    <w:p w:rsidR="00170ADB" w:rsidRDefault="00170ADB" w:rsidP="00170ADB">
      <w:pPr>
        <w:pStyle w:val="Body"/>
        <w:rPr>
          <w:rFonts w:ascii="TT5555F0o00" w:eastAsia="TT5555F0o00" w:hAnsi="TT5555F0o00" w:cs="TT5555F0o00"/>
          <w:lang w:val="en-US"/>
        </w:rPr>
      </w:pPr>
    </w:p>
    <w:p w:rsidR="00170ADB" w:rsidRDefault="00170ADB" w:rsidP="00170ADB">
      <w:pPr>
        <w:pStyle w:val="Body"/>
        <w:ind w:left="720" w:hanging="720"/>
        <w:rPr>
          <w:rFonts w:ascii="TT5555EFo00" w:eastAsia="TT5555EFo00" w:hAnsi="TT5555EFo00" w:cs="TT5555EFo00"/>
          <w:lang w:val="en-US"/>
        </w:rPr>
      </w:pPr>
      <w:r>
        <w:rPr>
          <w:rFonts w:ascii="TT5555EFo00" w:eastAsia="TT5555EFo00" w:hAnsi="TT5555EFo00" w:cs="TT5555EFo00"/>
          <w:lang w:val="en-US"/>
        </w:rPr>
        <w:t>1.</w:t>
      </w:r>
      <w:r>
        <w:rPr>
          <w:rFonts w:ascii="TT5555EFo00" w:eastAsia="TT5555EFo00" w:hAnsi="TT5555EFo00" w:cs="TT5555EFo00"/>
          <w:lang w:val="en-US"/>
        </w:rPr>
        <w:tab/>
        <w:t>The Pension Fund Committee ("the Committee") comprises fourteen</w:t>
      </w:r>
    </w:p>
    <w:p w:rsidR="00170ADB" w:rsidRDefault="00170ADB" w:rsidP="00170ADB">
      <w:pPr>
        <w:pStyle w:val="Body"/>
        <w:ind w:left="720"/>
        <w:rPr>
          <w:rFonts w:ascii="TT5555EFo00" w:eastAsia="TT5555EFo00" w:hAnsi="TT5555EFo00" w:cs="TT5555EFo00"/>
          <w:lang w:val="en-US"/>
        </w:rPr>
      </w:pPr>
      <w:r>
        <w:rPr>
          <w:rFonts w:ascii="TT5555EFo00" w:eastAsia="TT5555EFo00" w:hAnsi="TT5555EFo00" w:cs="TT5555EFo00"/>
          <w:lang w:val="en-US"/>
        </w:rPr>
        <w:t>County Councilors and seven voting co-</w:t>
      </w:r>
      <w:proofErr w:type="spellStart"/>
      <w:r>
        <w:rPr>
          <w:rFonts w:ascii="TT5555EFo00" w:eastAsia="TT5555EFo00" w:hAnsi="TT5555EFo00" w:cs="TT5555EFo00"/>
          <w:lang w:val="en-US"/>
        </w:rPr>
        <w:t>optees</w:t>
      </w:r>
      <w:proofErr w:type="spellEnd"/>
      <w:r>
        <w:rPr>
          <w:rFonts w:ascii="TT5555EFo00" w:eastAsia="TT5555EFo00" w:hAnsi="TT5555EFo00" w:cs="TT5555EFo00"/>
          <w:lang w:val="en-US"/>
        </w:rPr>
        <w:t xml:space="preserve"> representing the following </w:t>
      </w:r>
      <w:proofErr w:type="spellStart"/>
      <w:r>
        <w:rPr>
          <w:rFonts w:ascii="TT5555EFo00" w:eastAsia="TT5555EFo00" w:hAnsi="TT5555EFo00" w:cs="TT5555EFo00"/>
          <w:lang w:val="en-US"/>
        </w:rPr>
        <w:t>organisations</w:t>
      </w:r>
      <w:proofErr w:type="spellEnd"/>
      <w:r>
        <w:rPr>
          <w:rFonts w:ascii="TT5555EFo00" w:eastAsia="TT5555EFo00" w:hAnsi="TT5555EFo00" w:cs="TT5555EFo00"/>
          <w:lang w:val="en-US"/>
        </w:rPr>
        <w:t xml:space="preserve">: </w:t>
      </w:r>
    </w:p>
    <w:p w:rsidR="00170ADB" w:rsidRDefault="00170ADB" w:rsidP="00170ADB">
      <w:pPr>
        <w:pStyle w:val="Body"/>
        <w:ind w:firstLine="720"/>
        <w:rPr>
          <w:rFonts w:ascii="TT5555EFo00" w:eastAsia="TT5555EFo00" w:hAnsi="TT5555EFo00" w:cs="TT5555EFo00"/>
          <w:lang w:val="en-US"/>
        </w:rPr>
      </w:pPr>
    </w:p>
    <w:p w:rsidR="00170ADB" w:rsidRDefault="00170ADB" w:rsidP="00170ADB">
      <w:pPr>
        <w:pStyle w:val="Body"/>
        <w:ind w:left="1440" w:hanging="720"/>
        <w:rPr>
          <w:rFonts w:ascii="TT5555EFo00" w:eastAsia="TT5555EFo00" w:hAnsi="TT5555EFo00" w:cs="TT5555EFo00"/>
          <w:lang w:val="en-US"/>
        </w:rPr>
      </w:pPr>
      <w:r>
        <w:rPr>
          <w:rFonts w:ascii="TT5555EFo00" w:eastAsia="TT5555EFo00" w:hAnsi="TT5555EFo00" w:cs="TT5555EFo00"/>
          <w:lang w:val="en-US"/>
        </w:rPr>
        <w:t>a.</w:t>
      </w:r>
      <w:r>
        <w:rPr>
          <w:rFonts w:ascii="TT5555EFo00" w:eastAsia="TT5555EFo00" w:hAnsi="TT5555EFo00" w:cs="TT5555EFo00"/>
          <w:lang w:val="en-US"/>
        </w:rPr>
        <w:tab/>
        <w:t>One co-</w:t>
      </w:r>
      <w:proofErr w:type="spellStart"/>
      <w:r>
        <w:rPr>
          <w:rFonts w:ascii="TT5555EFo00" w:eastAsia="TT5555EFo00" w:hAnsi="TT5555EFo00" w:cs="TT5555EFo00"/>
          <w:lang w:val="en-US"/>
        </w:rPr>
        <w:t>optee</w:t>
      </w:r>
      <w:proofErr w:type="spellEnd"/>
      <w:r>
        <w:rPr>
          <w:rFonts w:ascii="TT5555EFo00" w:eastAsia="TT5555EFo00" w:hAnsi="TT5555EFo00" w:cs="TT5555EFo00"/>
          <w:lang w:val="en-US"/>
        </w:rPr>
        <w:t xml:space="preserve"> representing the Further and Higher Education sector in Lancashire;</w:t>
      </w:r>
    </w:p>
    <w:p w:rsidR="00170ADB" w:rsidRDefault="00170ADB" w:rsidP="00170ADB">
      <w:pPr>
        <w:pStyle w:val="Body"/>
        <w:ind w:firstLine="720"/>
        <w:rPr>
          <w:rFonts w:ascii="TT5555EFo00" w:eastAsia="TT5555EFo00" w:hAnsi="TT5555EFo00" w:cs="TT5555EFo00"/>
          <w:lang w:val="en-US"/>
        </w:rPr>
      </w:pPr>
      <w:r>
        <w:rPr>
          <w:rFonts w:ascii="TT5555EFo00" w:eastAsia="TT5555EFo00" w:hAnsi="TT5555EFo00" w:cs="TT5555EFo00"/>
          <w:lang w:val="en-US"/>
        </w:rPr>
        <w:t xml:space="preserve">b. </w:t>
      </w:r>
      <w:r>
        <w:rPr>
          <w:rFonts w:ascii="TT5555EFo00" w:eastAsia="TT5555EFo00" w:hAnsi="TT5555EFo00" w:cs="TT5555EFo00"/>
          <w:lang w:val="en-US"/>
        </w:rPr>
        <w:tab/>
        <w:t>One co-</w:t>
      </w:r>
      <w:proofErr w:type="spellStart"/>
      <w:r>
        <w:rPr>
          <w:rFonts w:ascii="TT5555EFo00" w:eastAsia="TT5555EFo00" w:hAnsi="TT5555EFo00" w:cs="TT5555EFo00"/>
          <w:lang w:val="en-US"/>
        </w:rPr>
        <w:t>optee</w:t>
      </w:r>
      <w:proofErr w:type="spellEnd"/>
      <w:r>
        <w:rPr>
          <w:rFonts w:ascii="TT5555EFo00" w:eastAsia="TT5555EFo00" w:hAnsi="TT5555EFo00" w:cs="TT5555EFo00"/>
          <w:lang w:val="en-US"/>
        </w:rPr>
        <w:t xml:space="preserve"> from Blackburn with Darwen Council;</w:t>
      </w:r>
    </w:p>
    <w:p w:rsidR="00170ADB" w:rsidRDefault="00170ADB" w:rsidP="00170ADB">
      <w:pPr>
        <w:pStyle w:val="Body"/>
        <w:ind w:firstLine="720"/>
        <w:rPr>
          <w:rFonts w:ascii="TT5555EFo00" w:eastAsia="TT5555EFo00" w:hAnsi="TT5555EFo00" w:cs="TT5555EFo00"/>
          <w:lang w:val="en-US"/>
        </w:rPr>
      </w:pPr>
      <w:r>
        <w:rPr>
          <w:rFonts w:ascii="TT5555EFo00" w:eastAsia="TT5555EFo00" w:hAnsi="TT5555EFo00" w:cs="TT5555EFo00"/>
          <w:lang w:val="en-US"/>
        </w:rPr>
        <w:t xml:space="preserve">c. </w:t>
      </w:r>
      <w:r>
        <w:rPr>
          <w:rFonts w:ascii="TT5555EFo00" w:eastAsia="TT5555EFo00" w:hAnsi="TT5555EFo00" w:cs="TT5555EFo00"/>
          <w:lang w:val="en-US"/>
        </w:rPr>
        <w:tab/>
        <w:t>One co-</w:t>
      </w:r>
      <w:proofErr w:type="spellStart"/>
      <w:r>
        <w:rPr>
          <w:rFonts w:ascii="TT5555EFo00" w:eastAsia="TT5555EFo00" w:hAnsi="TT5555EFo00" w:cs="TT5555EFo00"/>
          <w:lang w:val="en-US"/>
        </w:rPr>
        <w:t>optee</w:t>
      </w:r>
      <w:proofErr w:type="spellEnd"/>
      <w:r>
        <w:rPr>
          <w:rFonts w:ascii="TT5555EFo00" w:eastAsia="TT5555EFo00" w:hAnsi="TT5555EFo00" w:cs="TT5555EFo00"/>
          <w:lang w:val="en-US"/>
        </w:rPr>
        <w:t xml:space="preserve"> from </w:t>
      </w:r>
      <w:proofErr w:type="spellStart"/>
      <w:r>
        <w:rPr>
          <w:rFonts w:ascii="TT5555EFo00" w:eastAsia="TT5555EFo00" w:hAnsi="TT5555EFo00" w:cs="TT5555EFo00"/>
          <w:lang w:val="en-US"/>
        </w:rPr>
        <w:t>Blackpool</w:t>
      </w:r>
      <w:proofErr w:type="spellEnd"/>
      <w:r>
        <w:rPr>
          <w:rFonts w:ascii="TT5555EFo00" w:eastAsia="TT5555EFo00" w:hAnsi="TT5555EFo00" w:cs="TT5555EFo00"/>
          <w:lang w:val="en-US"/>
        </w:rPr>
        <w:t xml:space="preserve"> Council;</w:t>
      </w:r>
    </w:p>
    <w:p w:rsidR="00170ADB" w:rsidRDefault="00170ADB" w:rsidP="00170ADB">
      <w:pPr>
        <w:pStyle w:val="Body"/>
        <w:ind w:firstLine="720"/>
        <w:rPr>
          <w:rFonts w:ascii="TT5555EFo00" w:eastAsia="TT5555EFo00" w:hAnsi="TT5555EFo00" w:cs="TT5555EFo00"/>
          <w:lang w:val="en-US"/>
        </w:rPr>
      </w:pPr>
      <w:r>
        <w:rPr>
          <w:rFonts w:ascii="TT5555EFo00" w:eastAsia="TT5555EFo00" w:hAnsi="TT5555EFo00" w:cs="TT5555EFo00"/>
          <w:lang w:val="en-US"/>
        </w:rPr>
        <w:t xml:space="preserve">d. </w:t>
      </w:r>
      <w:r>
        <w:rPr>
          <w:rFonts w:ascii="TT5555EFo00" w:eastAsia="TT5555EFo00" w:hAnsi="TT5555EFo00" w:cs="TT5555EFo00"/>
          <w:lang w:val="en-US"/>
        </w:rPr>
        <w:tab/>
        <w:t>Two co-</w:t>
      </w:r>
      <w:proofErr w:type="spellStart"/>
      <w:r>
        <w:rPr>
          <w:rFonts w:ascii="TT5555EFo00" w:eastAsia="TT5555EFo00" w:hAnsi="TT5555EFo00" w:cs="TT5555EFo00"/>
          <w:lang w:val="en-US"/>
        </w:rPr>
        <w:t>optees</w:t>
      </w:r>
      <w:proofErr w:type="spellEnd"/>
      <w:r>
        <w:rPr>
          <w:rFonts w:ascii="TT5555EFo00" w:eastAsia="TT5555EFo00" w:hAnsi="TT5555EFo00" w:cs="TT5555EFo00"/>
          <w:lang w:val="en-US"/>
        </w:rPr>
        <w:t xml:space="preserve"> representing Trade Unions; and</w:t>
      </w:r>
    </w:p>
    <w:p w:rsidR="00170ADB" w:rsidRDefault="00170ADB" w:rsidP="00170ADB">
      <w:pPr>
        <w:pStyle w:val="Body"/>
        <w:ind w:left="1134" w:right="-99" w:hanging="425"/>
        <w:rPr>
          <w:rFonts w:ascii="TT5555EFo00" w:eastAsia="TT5555EFo00" w:hAnsi="TT5555EFo00" w:cs="TT5555EFo00"/>
          <w:lang w:val="en-US"/>
        </w:rPr>
      </w:pPr>
      <w:r>
        <w:rPr>
          <w:rFonts w:ascii="TT5555EFo00" w:eastAsia="TT5555EFo00" w:hAnsi="TT5555EFo00" w:cs="TT5555EFo00"/>
          <w:lang w:val="en-US"/>
        </w:rPr>
        <w:t xml:space="preserve">e. </w:t>
      </w:r>
      <w:r>
        <w:rPr>
          <w:rFonts w:ascii="TT5555EFo00" w:eastAsia="TT5555EFo00" w:hAnsi="TT5555EFo00" w:cs="TT5555EFo00"/>
          <w:lang w:val="en-US"/>
        </w:rPr>
        <w:tab/>
      </w:r>
      <w:r>
        <w:rPr>
          <w:rFonts w:ascii="TT5555EFo00" w:eastAsia="TT5555EFo00" w:hAnsi="TT5555EFo00" w:cs="TT5555EFo00"/>
          <w:lang w:val="en-US"/>
        </w:rPr>
        <w:tab/>
        <w:t>Two co-</w:t>
      </w:r>
      <w:proofErr w:type="spellStart"/>
      <w:r>
        <w:rPr>
          <w:rFonts w:ascii="TT5555EFo00" w:eastAsia="TT5555EFo00" w:hAnsi="TT5555EFo00" w:cs="TT5555EFo00"/>
          <w:lang w:val="en-US"/>
        </w:rPr>
        <w:t>optees</w:t>
      </w:r>
      <w:proofErr w:type="spellEnd"/>
      <w:r>
        <w:rPr>
          <w:rFonts w:ascii="TT5555EFo00" w:eastAsia="TT5555EFo00" w:hAnsi="TT5555EFo00" w:cs="TT5555EFo00"/>
          <w:lang w:val="en-US"/>
        </w:rPr>
        <w:t xml:space="preserve"> representing the Lancashire borough and city councils.</w:t>
      </w:r>
    </w:p>
    <w:p w:rsidR="00170ADB" w:rsidRDefault="00170ADB" w:rsidP="00170ADB">
      <w:pPr>
        <w:pStyle w:val="Body"/>
        <w:ind w:firstLine="720"/>
        <w:rPr>
          <w:rFonts w:ascii="TT5555EFo00" w:eastAsia="TT5555EFo00" w:hAnsi="TT5555EFo00" w:cs="TT5555EFo00"/>
          <w:lang w:val="en-US"/>
        </w:rPr>
      </w:pPr>
    </w:p>
    <w:p w:rsidR="00170ADB" w:rsidRDefault="00170ADB" w:rsidP="00170ADB">
      <w:pPr>
        <w:pStyle w:val="Body"/>
        <w:rPr>
          <w:rFonts w:ascii="TT5555EFo00" w:eastAsia="TT5555EFo00" w:hAnsi="TT5555EFo00" w:cs="TT5555EFo00"/>
          <w:lang w:val="en-US"/>
        </w:rPr>
      </w:pPr>
      <w:r>
        <w:rPr>
          <w:rFonts w:ascii="TT5555EFo00" w:eastAsia="TT5555EFo00" w:hAnsi="TT5555EFo00" w:cs="TT5555EFo00"/>
          <w:lang w:val="en-US"/>
        </w:rPr>
        <w:t xml:space="preserve">2. </w:t>
      </w:r>
      <w:r>
        <w:rPr>
          <w:rFonts w:ascii="TT5555EFo00" w:eastAsia="TT5555EFo00" w:hAnsi="TT5555EFo00" w:cs="TT5555EFo00"/>
          <w:lang w:val="en-US"/>
        </w:rPr>
        <w:tab/>
        <w:t>The role of the Committee is to:</w:t>
      </w:r>
    </w:p>
    <w:p w:rsidR="00170ADB" w:rsidRDefault="00170ADB" w:rsidP="00170ADB">
      <w:pPr>
        <w:pStyle w:val="Body"/>
        <w:rPr>
          <w:rFonts w:ascii="TT5555EFo00" w:eastAsia="TT5555EFo00" w:hAnsi="TT5555EFo00" w:cs="TT5555EFo00"/>
          <w:lang w:val="en-US"/>
        </w:rPr>
      </w:pPr>
    </w:p>
    <w:p w:rsidR="00170ADB" w:rsidRDefault="00170ADB" w:rsidP="00170ADB">
      <w:pPr>
        <w:pStyle w:val="Body"/>
        <w:ind w:left="1440" w:hanging="720"/>
        <w:rPr>
          <w:rFonts w:ascii="TT5555EFo00" w:eastAsia="TT5555EFo00" w:hAnsi="TT5555EFo00" w:cs="TT5555EFo00"/>
          <w:lang w:val="en-US"/>
        </w:rPr>
      </w:pPr>
      <w:r>
        <w:rPr>
          <w:rFonts w:ascii="TT5555EFo00" w:eastAsia="TT5555EFo00" w:hAnsi="TT5555EFo00" w:cs="TT5555EFo00"/>
          <w:lang w:val="en-US"/>
        </w:rPr>
        <w:t xml:space="preserve">a. </w:t>
      </w:r>
      <w:r>
        <w:rPr>
          <w:rFonts w:ascii="TT5555EFo00" w:eastAsia="TT5555EFo00" w:hAnsi="TT5555EFo00" w:cs="TT5555EFo00"/>
          <w:lang w:val="en-US"/>
        </w:rPr>
        <w:tab/>
        <w:t>Fulfil the role of Scheme Manager, as set out in regulations, of the     Lancashire County Pension Fund ("the Fund");</w:t>
      </w:r>
    </w:p>
    <w:p w:rsidR="00170ADB" w:rsidRDefault="00170ADB" w:rsidP="00170ADB">
      <w:pPr>
        <w:pStyle w:val="Body"/>
        <w:ind w:left="1440" w:hanging="720"/>
        <w:rPr>
          <w:rFonts w:ascii="TT5555EFo00" w:eastAsia="TT5555EFo00" w:hAnsi="TT5555EFo00" w:cs="TT5555EFo00"/>
          <w:lang w:val="en-US"/>
        </w:rPr>
      </w:pPr>
      <w:proofErr w:type="gramStart"/>
      <w:r>
        <w:rPr>
          <w:rFonts w:ascii="TT5555EFo00" w:eastAsia="TT5555EFo00" w:hAnsi="TT5555EFo00" w:cs="TT5555EFo00"/>
          <w:lang w:val="en-US"/>
        </w:rPr>
        <w:t>b</w:t>
      </w:r>
      <w:proofErr w:type="gramEnd"/>
      <w:r>
        <w:rPr>
          <w:rFonts w:ascii="TT5555EFo00" w:eastAsia="TT5555EFo00" w:hAnsi="TT5555EFo00" w:cs="TT5555EFo00"/>
          <w:lang w:val="en-US"/>
        </w:rPr>
        <w:t xml:space="preserve">. </w:t>
      </w:r>
      <w:r>
        <w:rPr>
          <w:rFonts w:ascii="TT5555EFo00" w:eastAsia="TT5555EFo00" w:hAnsi="TT5555EFo00" w:cs="TT5555EFo00"/>
          <w:lang w:val="en-US"/>
        </w:rPr>
        <w:tab/>
        <w:t>establish policies in relation to investment management, which shall include meeting with the Investment Panel to consider future Investment policy for the Fund;</w:t>
      </w:r>
      <w:r>
        <w:rPr>
          <w:rFonts w:ascii="TT5555EFo00" w:eastAsia="TT5555EFo00" w:hAnsi="TT5555EFo00" w:cs="TT5555EFo00"/>
          <w:lang w:val="en-US"/>
        </w:rPr>
        <w:tab/>
      </w:r>
    </w:p>
    <w:p w:rsidR="00170ADB" w:rsidRDefault="00170ADB" w:rsidP="00170ADB">
      <w:pPr>
        <w:pStyle w:val="Body"/>
        <w:ind w:right="-99" w:firstLine="720"/>
        <w:rPr>
          <w:rFonts w:ascii="TT5555EFo00" w:eastAsia="TT5555EFo00" w:hAnsi="TT5555EFo00" w:cs="TT5555EFo00"/>
          <w:lang w:val="en-US"/>
        </w:rPr>
      </w:pPr>
      <w:proofErr w:type="gramStart"/>
      <w:r>
        <w:rPr>
          <w:rFonts w:ascii="TT5555EFo00" w:eastAsia="TT5555EFo00" w:hAnsi="TT5555EFo00" w:cs="TT5555EFo00"/>
          <w:lang w:val="en-US"/>
        </w:rPr>
        <w:t>c</w:t>
      </w:r>
      <w:proofErr w:type="gramEnd"/>
      <w:r>
        <w:rPr>
          <w:rFonts w:ascii="TT5555EFo00" w:eastAsia="TT5555EFo00" w:hAnsi="TT5555EFo00" w:cs="TT5555EFo00"/>
          <w:lang w:val="en-US"/>
        </w:rPr>
        <w:t xml:space="preserve">. </w:t>
      </w:r>
      <w:r>
        <w:rPr>
          <w:rFonts w:ascii="TT5555EFo00" w:eastAsia="TT5555EFo00" w:hAnsi="TT5555EFo00" w:cs="TT5555EFo00"/>
          <w:lang w:val="en-US"/>
        </w:rPr>
        <w:tab/>
        <w:t>monitor and review investment activity and the performance of the</w:t>
      </w:r>
    </w:p>
    <w:p w:rsidR="00170ADB" w:rsidRDefault="00170ADB" w:rsidP="00170ADB">
      <w:pPr>
        <w:pStyle w:val="Body"/>
        <w:ind w:left="720" w:firstLine="720"/>
        <w:rPr>
          <w:rFonts w:ascii="TT5555EFo00" w:eastAsia="TT5555EFo00" w:hAnsi="TT5555EFo00" w:cs="TT5555EFo00"/>
          <w:lang w:val="en-US"/>
        </w:rPr>
      </w:pPr>
      <w:r>
        <w:rPr>
          <w:rFonts w:ascii="TT5555EFo00" w:eastAsia="TT5555EFo00" w:hAnsi="TT5555EFo00" w:cs="TT5555EFo00"/>
          <w:lang w:val="en-US"/>
        </w:rPr>
        <w:t>Fund; and</w:t>
      </w:r>
    </w:p>
    <w:p w:rsidR="00170ADB" w:rsidRDefault="00170ADB" w:rsidP="00170ADB">
      <w:pPr>
        <w:pStyle w:val="Body"/>
        <w:ind w:firstLine="720"/>
        <w:rPr>
          <w:rFonts w:ascii="TT5555EFo00" w:eastAsia="TT5555EFo00" w:hAnsi="TT5555EFo00" w:cs="TT5555EFo00"/>
          <w:lang w:val="en-US"/>
        </w:rPr>
      </w:pPr>
      <w:proofErr w:type="gramStart"/>
      <w:r>
        <w:rPr>
          <w:rFonts w:ascii="TT5555EFo00" w:eastAsia="TT5555EFo00" w:hAnsi="TT5555EFo00" w:cs="TT5555EFo00"/>
          <w:lang w:val="en-US"/>
        </w:rPr>
        <w:t>d</w:t>
      </w:r>
      <w:proofErr w:type="gramEnd"/>
      <w:r>
        <w:rPr>
          <w:rFonts w:ascii="TT5555EFo00" w:eastAsia="TT5555EFo00" w:hAnsi="TT5555EFo00" w:cs="TT5555EFo00"/>
          <w:lang w:val="en-US"/>
        </w:rPr>
        <w:t xml:space="preserve">. </w:t>
      </w:r>
      <w:r>
        <w:rPr>
          <w:rFonts w:ascii="TT5555EFo00" w:eastAsia="TT5555EFo00" w:hAnsi="TT5555EFo00" w:cs="TT5555EFo00"/>
          <w:lang w:val="en-US"/>
        </w:rPr>
        <w:tab/>
        <w:t>present an annual report to the Full Council on the state of the</w:t>
      </w:r>
    </w:p>
    <w:p w:rsidR="00170ADB" w:rsidRDefault="00170ADB" w:rsidP="00170ADB">
      <w:pPr>
        <w:pStyle w:val="Body"/>
        <w:ind w:left="720" w:firstLine="720"/>
        <w:rPr>
          <w:rFonts w:ascii="TT5555EFo00" w:eastAsia="TT5555EFo00" w:hAnsi="TT5555EFo00" w:cs="TT5555EFo00"/>
          <w:lang w:val="en-US"/>
        </w:rPr>
      </w:pPr>
      <w:r>
        <w:rPr>
          <w:rFonts w:ascii="TT5555EFo00" w:eastAsia="TT5555EFo00" w:hAnsi="TT5555EFo00" w:cs="TT5555EFo00"/>
          <w:lang w:val="en-US"/>
        </w:rPr>
        <w:t>Fund and on the investment activities during the preceding year.</w:t>
      </w:r>
    </w:p>
    <w:p w:rsidR="00170ADB" w:rsidRDefault="00170ADB" w:rsidP="00170ADB">
      <w:pPr>
        <w:pStyle w:val="Body"/>
        <w:ind w:left="720" w:firstLine="720"/>
        <w:rPr>
          <w:rFonts w:ascii="TT5555EFo00" w:eastAsia="TT5555EFo00" w:hAnsi="TT5555EFo00" w:cs="TT5555EFo00"/>
          <w:lang w:val="en-US"/>
        </w:rPr>
      </w:pPr>
    </w:p>
    <w:p w:rsidR="00170ADB" w:rsidRDefault="00170ADB" w:rsidP="00170ADB">
      <w:pPr>
        <w:pStyle w:val="Body"/>
        <w:ind w:left="720" w:hanging="720"/>
        <w:rPr>
          <w:rFonts w:ascii="TT5555EFo00" w:eastAsia="TT5555EFo00" w:hAnsi="TT5555EFo00" w:cs="TT5555EFo00"/>
          <w:lang w:val="en-US"/>
        </w:rPr>
      </w:pPr>
      <w:r>
        <w:rPr>
          <w:rFonts w:ascii="TT5555EFo00" w:eastAsia="TT5555EFo00" w:hAnsi="TT5555EFo00" w:cs="TT5555EFo00"/>
          <w:lang w:val="en-US"/>
        </w:rPr>
        <w:t xml:space="preserve">3. </w:t>
      </w:r>
      <w:r>
        <w:rPr>
          <w:rFonts w:ascii="TT5555EFo00" w:eastAsia="TT5555EFo00" w:hAnsi="TT5555EFo00" w:cs="TT5555EFo00"/>
          <w:lang w:val="en-US"/>
        </w:rPr>
        <w:tab/>
        <w:t>Meetings of the Committee shall be open to the public, but the public may be excluded where information of an exempt or confidential nature is being discussed – see Access to Information Procedure Rules set out at Appendix ‘H’ to the County Council's Constitution.</w:t>
      </w:r>
    </w:p>
    <w:p w:rsidR="00170ADB" w:rsidRDefault="00170ADB" w:rsidP="00170ADB">
      <w:pPr>
        <w:pStyle w:val="Body"/>
        <w:ind w:left="720"/>
        <w:rPr>
          <w:rFonts w:ascii="TT5555EFo00" w:eastAsia="TT5555EFo00" w:hAnsi="TT5555EFo00" w:cs="TT5555EFo00"/>
          <w:lang w:val="en-US"/>
        </w:rPr>
      </w:pPr>
    </w:p>
    <w:p w:rsidR="00170ADB" w:rsidRDefault="00170ADB" w:rsidP="00170ADB">
      <w:pPr>
        <w:pStyle w:val="Body"/>
        <w:rPr>
          <w:rFonts w:ascii="TT5555F0o00" w:eastAsia="TT5555F0o00" w:hAnsi="TT5555F0o00" w:cs="TT5555F0o00"/>
          <w:lang w:val="en-US"/>
        </w:rPr>
      </w:pPr>
      <w:r>
        <w:rPr>
          <w:rFonts w:ascii="TT5555F0o00" w:eastAsia="TT5555F0o00" w:hAnsi="TT5555F0o00" w:cs="TT5555F0o00"/>
          <w:lang w:val="en-US"/>
        </w:rPr>
        <w:t>Terms of Reference</w:t>
      </w:r>
    </w:p>
    <w:p w:rsidR="00170ADB" w:rsidRDefault="00170ADB" w:rsidP="00170ADB">
      <w:pPr>
        <w:pStyle w:val="Body"/>
        <w:rPr>
          <w:rFonts w:ascii="TT5555F0o00" w:eastAsia="TT5555F0o00" w:hAnsi="TT5555F0o00" w:cs="TT5555F0o00"/>
          <w:lang w:val="en-US"/>
        </w:rPr>
      </w:pPr>
    </w:p>
    <w:p w:rsidR="00170ADB" w:rsidRDefault="00170ADB" w:rsidP="00170ADB">
      <w:pPr>
        <w:pStyle w:val="Body"/>
        <w:rPr>
          <w:rFonts w:ascii="TT5555F0o00" w:eastAsia="TT5555F0o00" w:hAnsi="TT5555F0o00" w:cs="TT5555F0o00"/>
          <w:lang w:val="en-US"/>
        </w:rPr>
      </w:pPr>
      <w:r>
        <w:rPr>
          <w:rFonts w:ascii="TT5555F0o00" w:eastAsia="TT5555F0o00" w:hAnsi="TT5555F0o00" w:cs="TT5555F0o00"/>
          <w:lang w:val="en-US"/>
        </w:rPr>
        <w:t>General</w:t>
      </w:r>
    </w:p>
    <w:p w:rsidR="00170ADB" w:rsidRDefault="00170ADB" w:rsidP="00170ADB">
      <w:pPr>
        <w:pStyle w:val="Body"/>
        <w:rPr>
          <w:rFonts w:ascii="TT5555F0o00" w:eastAsia="TT5555F0o00" w:hAnsi="TT5555F0o00" w:cs="TT5555F0o00"/>
          <w:lang w:val="en-US"/>
        </w:rPr>
      </w:pPr>
    </w:p>
    <w:p w:rsidR="00170ADB" w:rsidRDefault="00170ADB" w:rsidP="00170ADB">
      <w:pPr>
        <w:pStyle w:val="Body"/>
        <w:ind w:left="720" w:hanging="720"/>
        <w:rPr>
          <w:rFonts w:ascii="TT5555EFo00" w:eastAsia="TT5555EFo00" w:hAnsi="TT5555EFo00" w:cs="TT5555EFo00"/>
          <w:lang w:val="en-US"/>
        </w:rPr>
      </w:pPr>
      <w:r>
        <w:rPr>
          <w:rFonts w:ascii="TT5555EFo00" w:eastAsia="TT5555EFo00" w:hAnsi="TT5555EFo00" w:cs="TT5555EFo00"/>
          <w:lang w:val="en-US"/>
        </w:rPr>
        <w:t xml:space="preserve">1. </w:t>
      </w:r>
      <w:r>
        <w:rPr>
          <w:rFonts w:ascii="TT5555EFo00" w:eastAsia="TT5555EFo00" w:hAnsi="TT5555EFo00" w:cs="TT5555EFo00"/>
          <w:lang w:val="en-US"/>
        </w:rPr>
        <w:tab/>
        <w:t xml:space="preserve">To exercise Lancashire County Council’s responsibility for the management of the Fund, including the administration of benefits and strategic management of Fund assets and liabilities. </w:t>
      </w:r>
    </w:p>
    <w:p w:rsidR="00170ADB" w:rsidRDefault="00170ADB" w:rsidP="00170ADB">
      <w:pPr>
        <w:pStyle w:val="Body"/>
        <w:rPr>
          <w:rFonts w:ascii="TT5555EFo00" w:eastAsia="TT5555EFo00" w:hAnsi="TT5555EFo00" w:cs="TT5555EFo00"/>
          <w:lang w:val="en-US"/>
        </w:rPr>
      </w:pPr>
    </w:p>
    <w:p w:rsidR="00170ADB" w:rsidRDefault="00170ADB" w:rsidP="00170ADB">
      <w:pPr>
        <w:pStyle w:val="Body"/>
        <w:ind w:left="720" w:hanging="720"/>
        <w:rPr>
          <w:rFonts w:ascii="TT5555EFo00" w:eastAsia="TT5555EFo00" w:hAnsi="TT5555EFo00" w:cs="TT5555EFo00"/>
          <w:lang w:val="en-US"/>
        </w:rPr>
      </w:pPr>
      <w:r>
        <w:rPr>
          <w:rFonts w:ascii="TT5555EFo00" w:eastAsia="TT5555EFo00" w:hAnsi="TT5555EFo00" w:cs="TT5555EFo00"/>
          <w:lang w:val="en-US"/>
        </w:rPr>
        <w:t>2.</w:t>
      </w:r>
      <w:r>
        <w:rPr>
          <w:rFonts w:ascii="TT5555EFo00" w:eastAsia="TT5555EFo00" w:hAnsi="TT5555EFo00" w:cs="TT5555EFo00"/>
          <w:lang w:val="en-US"/>
        </w:rPr>
        <w:tab/>
        <w:t>To determine which pension related functions and responsibilities should be exercised under a Scheme of Delegation to the Director of the Lancashire County Pension Fund.</w:t>
      </w:r>
    </w:p>
    <w:p w:rsidR="00170ADB" w:rsidRDefault="00170ADB" w:rsidP="00170ADB">
      <w:pPr>
        <w:pStyle w:val="Body"/>
        <w:rPr>
          <w:rFonts w:ascii="TT5555EFo00" w:eastAsia="TT5555EFo00" w:hAnsi="TT5555EFo00" w:cs="TT5555EFo00"/>
          <w:lang w:val="en-US"/>
        </w:rPr>
      </w:pPr>
    </w:p>
    <w:p w:rsidR="00170ADB" w:rsidRDefault="00170ADB" w:rsidP="00170ADB">
      <w:pPr>
        <w:pStyle w:val="Body"/>
        <w:ind w:left="720" w:hanging="720"/>
        <w:rPr>
          <w:rFonts w:ascii="TT5555EFo00" w:eastAsia="TT5555EFo00" w:hAnsi="TT5555EFo00" w:cs="TT5555EFo00"/>
          <w:lang w:val="en-US"/>
        </w:rPr>
      </w:pPr>
      <w:r>
        <w:rPr>
          <w:rFonts w:ascii="TT5555EFo00" w:eastAsia="TT5555EFo00" w:hAnsi="TT5555EFo00" w:cs="TT5555EFo00"/>
          <w:lang w:val="en-US"/>
        </w:rPr>
        <w:t>3.</w:t>
      </w:r>
      <w:r>
        <w:rPr>
          <w:rFonts w:ascii="TT5555EFo00" w:eastAsia="TT5555EFo00" w:hAnsi="TT5555EFo00" w:cs="TT5555EFo00"/>
          <w:lang w:val="en-US"/>
        </w:rPr>
        <w:tab/>
        <w:t xml:space="preserve">To review governance arrangements and the efficient and effective use of external advisors to ensure good decision-making. </w:t>
      </w:r>
    </w:p>
    <w:p w:rsidR="00170ADB" w:rsidRDefault="00170ADB" w:rsidP="00170ADB">
      <w:pPr>
        <w:pStyle w:val="Body"/>
        <w:ind w:left="720" w:hanging="720"/>
        <w:rPr>
          <w:rFonts w:ascii="TT5555EFo00" w:eastAsia="TT5555EFo00" w:hAnsi="TT5555EFo00" w:cs="TT5555EFo00"/>
          <w:lang w:val="en-US"/>
        </w:rPr>
      </w:pPr>
    </w:p>
    <w:p w:rsidR="00170ADB" w:rsidRDefault="00170ADB" w:rsidP="00170ADB">
      <w:pPr>
        <w:pStyle w:val="Body"/>
        <w:ind w:left="720" w:hanging="720"/>
        <w:rPr>
          <w:rFonts w:ascii="TT5555EFo00" w:eastAsia="TT5555EFo00" w:hAnsi="TT5555EFo00" w:cs="TT5555EFo00"/>
          <w:lang w:val="en-US"/>
        </w:rPr>
      </w:pPr>
      <w:r>
        <w:rPr>
          <w:rFonts w:ascii="TT5555EFo00" w:eastAsia="TT5555EFo00" w:hAnsi="TT5555EFo00" w:cs="TT5555EFo00"/>
          <w:lang w:val="en-US"/>
        </w:rPr>
        <w:lastRenderedPageBreak/>
        <w:t>4.</w:t>
      </w:r>
      <w:r>
        <w:rPr>
          <w:rFonts w:ascii="TT5555EFo00" w:eastAsia="TT5555EFo00" w:hAnsi="TT5555EFo00" w:cs="TT5555EFo00"/>
          <w:lang w:val="en-US"/>
        </w:rPr>
        <w:tab/>
        <w:t>To appoint a minimum of two suitable persons to an Investment Panel through a sub committee convened for that purpose.</w:t>
      </w:r>
    </w:p>
    <w:p w:rsidR="00170ADB" w:rsidRDefault="00170ADB" w:rsidP="00170ADB">
      <w:pPr>
        <w:pStyle w:val="Body"/>
        <w:ind w:left="720" w:hanging="720"/>
        <w:rPr>
          <w:rFonts w:ascii="TT5555EFo00" w:eastAsia="TT5555EFo00" w:hAnsi="TT5555EFo00" w:cs="TT5555EFo00"/>
          <w:lang w:val="en-US"/>
        </w:rPr>
      </w:pPr>
    </w:p>
    <w:p w:rsidR="00170ADB" w:rsidRDefault="00170ADB" w:rsidP="00170ADB">
      <w:pPr>
        <w:pStyle w:val="Body"/>
        <w:ind w:left="720" w:hanging="720"/>
        <w:rPr>
          <w:rFonts w:ascii="TT5555EFo00" w:eastAsia="TT5555EFo00" w:hAnsi="TT5555EFo00" w:cs="TT5555EFo00"/>
          <w:lang w:val="en-US"/>
        </w:rPr>
      </w:pPr>
      <w:r>
        <w:rPr>
          <w:rFonts w:ascii="TT5555EFo00" w:eastAsia="TT5555EFo00" w:hAnsi="TT5555EFo00" w:cs="TT5555EFo00"/>
          <w:lang w:val="en-US"/>
        </w:rPr>
        <w:t>5.</w:t>
      </w:r>
      <w:r>
        <w:rPr>
          <w:rFonts w:ascii="TT5555EFo00" w:eastAsia="TT5555EFo00" w:hAnsi="TT5555EFo00" w:cs="TT5555EFo00"/>
          <w:lang w:val="en-US"/>
        </w:rPr>
        <w:tab/>
        <w:t xml:space="preserve">To meet at least quarterly, or otherwise as necessary, with the Investment Panel in attendance </w:t>
      </w:r>
    </w:p>
    <w:p w:rsidR="00170ADB" w:rsidRDefault="00170ADB" w:rsidP="00170ADB">
      <w:pPr>
        <w:pStyle w:val="Body"/>
        <w:ind w:left="720" w:hanging="720"/>
        <w:rPr>
          <w:rFonts w:ascii="TT5555EFo00" w:eastAsia="TT5555EFo00" w:hAnsi="TT5555EFo00" w:cs="TT5555EFo00"/>
          <w:lang w:val="en-US"/>
        </w:rPr>
      </w:pPr>
    </w:p>
    <w:p w:rsidR="00170ADB" w:rsidRDefault="00170ADB" w:rsidP="00170ADB">
      <w:pPr>
        <w:pStyle w:val="Body"/>
        <w:ind w:left="720" w:hanging="720"/>
        <w:rPr>
          <w:rFonts w:ascii="TT5555EFo00" w:eastAsia="TT5555EFo00" w:hAnsi="TT5555EFo00" w:cs="TT5555EFo00"/>
          <w:lang w:val="en-US"/>
        </w:rPr>
      </w:pPr>
      <w:r>
        <w:rPr>
          <w:rFonts w:ascii="TT5555EFo00" w:eastAsia="TT5555EFo00" w:hAnsi="TT5555EFo00" w:cs="TT5555EFo00"/>
          <w:lang w:val="en-US"/>
        </w:rPr>
        <w:t>6.</w:t>
      </w:r>
      <w:r>
        <w:rPr>
          <w:rFonts w:ascii="TT5555EFo00" w:eastAsia="TT5555EFo00" w:hAnsi="TT5555EFo00" w:cs="TT5555EFo00"/>
          <w:lang w:val="en-US"/>
        </w:rPr>
        <w:tab/>
        <w:t>To approve the overall appropriate and necessary training requirements for members of the Committee.</w:t>
      </w:r>
    </w:p>
    <w:p w:rsidR="00170ADB" w:rsidRDefault="00170ADB" w:rsidP="00170ADB">
      <w:pPr>
        <w:pStyle w:val="Body"/>
        <w:ind w:left="720" w:hanging="720"/>
        <w:rPr>
          <w:rFonts w:ascii="TT5555EFo00" w:eastAsia="TT5555EFo00" w:hAnsi="TT5555EFo00" w:cs="TT5555EFo00"/>
          <w:lang w:val="en-US"/>
        </w:rPr>
      </w:pPr>
    </w:p>
    <w:p w:rsidR="00170ADB" w:rsidRDefault="00170ADB" w:rsidP="00170ADB">
      <w:pPr>
        <w:pStyle w:val="Body"/>
        <w:ind w:left="720" w:hanging="720"/>
        <w:rPr>
          <w:rFonts w:ascii="TT5555EFo00" w:eastAsia="TT5555EFo00" w:hAnsi="TT5555EFo00" w:cs="TT5555EFo00"/>
          <w:lang w:val="en-US"/>
        </w:rPr>
      </w:pPr>
      <w:r>
        <w:rPr>
          <w:rFonts w:ascii="TT5555EFo00" w:eastAsia="TT5555EFo00" w:hAnsi="TT5555EFo00" w:cs="TT5555EFo00"/>
          <w:lang w:val="en-US"/>
        </w:rPr>
        <w:t>Policy and Strategic Planning</w:t>
      </w:r>
    </w:p>
    <w:p w:rsidR="00170ADB" w:rsidRDefault="00170ADB" w:rsidP="00170ADB">
      <w:pPr>
        <w:pStyle w:val="Body"/>
        <w:ind w:left="720" w:firstLine="131"/>
        <w:rPr>
          <w:rFonts w:ascii="TT5555EFo00" w:eastAsia="TT5555EFo00" w:hAnsi="TT5555EFo00" w:cs="TT5555EFo00"/>
          <w:lang w:val="en-US"/>
        </w:rPr>
      </w:pPr>
    </w:p>
    <w:p w:rsidR="00170ADB" w:rsidRDefault="00170ADB" w:rsidP="00170ADB">
      <w:pPr>
        <w:pStyle w:val="Body"/>
        <w:ind w:hanging="11"/>
        <w:rPr>
          <w:rFonts w:ascii="TT5555EFo00" w:eastAsia="TT5555EFo00" w:hAnsi="TT5555EFo00" w:cs="TT5555EFo00"/>
          <w:lang w:val="en-US"/>
        </w:rPr>
      </w:pPr>
      <w:r>
        <w:rPr>
          <w:rFonts w:ascii="TT5555EFo00" w:eastAsia="TT5555EFo00" w:hAnsi="TT5555EFo00" w:cs="TT5555EFo00"/>
          <w:lang w:val="en-US"/>
        </w:rPr>
        <w:t>7.</w:t>
      </w:r>
      <w:r>
        <w:rPr>
          <w:rFonts w:ascii="TT5555EFo00" w:eastAsia="TT5555EFo00" w:hAnsi="TT5555EFo00" w:cs="TT5555EFo00"/>
          <w:lang w:val="en-US"/>
        </w:rPr>
        <w:tab/>
        <w:t>To approve the following key policy documents:</w:t>
      </w:r>
    </w:p>
    <w:p w:rsidR="00170ADB" w:rsidRDefault="00170ADB" w:rsidP="00170ADB">
      <w:pPr>
        <w:pStyle w:val="Body"/>
        <w:ind w:left="1701" w:hanging="850"/>
        <w:rPr>
          <w:rFonts w:ascii="TT5555EFo00" w:eastAsia="TT5555EFo00" w:hAnsi="TT5555EFo00" w:cs="TT5555EFo00"/>
          <w:lang w:val="en-US"/>
        </w:rPr>
      </w:pPr>
    </w:p>
    <w:p w:rsidR="00170ADB" w:rsidRDefault="00170ADB" w:rsidP="00170ADB">
      <w:pPr>
        <w:pStyle w:val="ListParagraph"/>
        <w:numPr>
          <w:ilvl w:val="0"/>
          <w:numId w:val="2"/>
        </w:numPr>
        <w:ind w:left="709"/>
        <w:rPr>
          <w:rFonts w:ascii="Helvetica" w:eastAsia="Helvetica" w:hAnsi="Helvetica" w:cs="Arial Unicode MS"/>
          <w:lang w:val="en-US"/>
        </w:rPr>
      </w:pPr>
      <w:r>
        <w:rPr>
          <w:rFonts w:ascii="TT5555EFo00" w:eastAsia="TT5555EFo00" w:hAnsi="TT5555EFo00" w:cs="TT5555EFo00"/>
        </w:rPr>
        <w:t>A rolling 3 Year Strategic Plan;</w:t>
      </w:r>
    </w:p>
    <w:p w:rsidR="00170ADB" w:rsidRDefault="00170ADB" w:rsidP="00170ADB">
      <w:pPr>
        <w:pStyle w:val="ListParagraph"/>
        <w:numPr>
          <w:ilvl w:val="0"/>
          <w:numId w:val="2"/>
        </w:numPr>
        <w:ind w:firstLine="709"/>
        <w:rPr>
          <w:rFonts w:ascii="Helvetica" w:eastAsia="Helvetica" w:hAnsi="Helvetica"/>
        </w:rPr>
      </w:pPr>
      <w:r>
        <w:rPr>
          <w:rFonts w:ascii="TT5555EFo00" w:eastAsia="TT5555EFo00" w:hAnsi="TT5555EFo00" w:cs="TT5555EFo00"/>
        </w:rPr>
        <w:t>Statement of Investment Principles,</w:t>
      </w:r>
    </w:p>
    <w:p w:rsidR="00170ADB" w:rsidRDefault="00170ADB" w:rsidP="00170ADB">
      <w:pPr>
        <w:pStyle w:val="ListParagraph"/>
        <w:numPr>
          <w:ilvl w:val="0"/>
          <w:numId w:val="2"/>
        </w:numPr>
        <w:ind w:left="1418" w:hanging="709"/>
        <w:rPr>
          <w:rFonts w:ascii="Helvetica" w:eastAsia="Helvetica" w:hAnsi="Helvetica"/>
        </w:rPr>
      </w:pPr>
      <w:r>
        <w:rPr>
          <w:rFonts w:ascii="TT5555EFo00" w:eastAsia="TT5555EFo00" w:hAnsi="TT5555EFo00" w:cs="TT5555EFo00"/>
        </w:rPr>
        <w:t xml:space="preserve">Governance Policy Statement </w:t>
      </w:r>
    </w:p>
    <w:p w:rsidR="00170ADB" w:rsidRDefault="00170ADB" w:rsidP="00170ADB">
      <w:pPr>
        <w:pStyle w:val="ListParagraph"/>
        <w:numPr>
          <w:ilvl w:val="0"/>
          <w:numId w:val="2"/>
        </w:numPr>
        <w:ind w:left="709"/>
        <w:rPr>
          <w:rFonts w:ascii="Helvetica" w:eastAsia="Helvetica" w:hAnsi="Helvetica"/>
        </w:rPr>
      </w:pPr>
      <w:r>
        <w:rPr>
          <w:rFonts w:ascii="TT5555EFo00" w:eastAsia="TT5555EFo00" w:hAnsi="TT5555EFo00" w:cs="TT5555EFo00"/>
        </w:rPr>
        <w:t>Governance Compliance Statement.</w:t>
      </w:r>
    </w:p>
    <w:p w:rsidR="00170ADB" w:rsidRDefault="00170ADB" w:rsidP="00170ADB">
      <w:pPr>
        <w:pStyle w:val="ListParagraph"/>
        <w:numPr>
          <w:ilvl w:val="0"/>
          <w:numId w:val="2"/>
        </w:numPr>
        <w:ind w:left="1418" w:hanging="709"/>
        <w:rPr>
          <w:rFonts w:ascii="Helvetica" w:eastAsia="Helvetica" w:hAnsi="Helvetica"/>
        </w:rPr>
      </w:pPr>
      <w:r>
        <w:rPr>
          <w:rFonts w:ascii="TT5555EFo00" w:eastAsia="TT5555EFo00" w:hAnsi="TT5555EFo00" w:cs="TT5555EFo00"/>
        </w:rPr>
        <w:t>Pension Fund Annual Report, including the Annual Administration Report.</w:t>
      </w:r>
    </w:p>
    <w:p w:rsidR="00170ADB" w:rsidRDefault="00170ADB" w:rsidP="00170ADB">
      <w:pPr>
        <w:pStyle w:val="ListParagraph"/>
        <w:numPr>
          <w:ilvl w:val="0"/>
          <w:numId w:val="2"/>
        </w:numPr>
        <w:ind w:left="1418" w:hanging="709"/>
        <w:rPr>
          <w:rFonts w:ascii="Helvetica" w:eastAsia="Helvetica" w:hAnsi="Helvetica"/>
        </w:rPr>
      </w:pPr>
      <w:r>
        <w:rPr>
          <w:rFonts w:ascii="TT5555EFo00" w:eastAsia="TT5555EFo00" w:hAnsi="TT5555EFo00" w:cs="TT5555EFo00"/>
        </w:rPr>
        <w:t>The Funding Strategy Statement to include the Fund's policy in respect of:</w:t>
      </w:r>
    </w:p>
    <w:p w:rsidR="00170ADB" w:rsidRDefault="00170ADB" w:rsidP="00170ADB">
      <w:pPr>
        <w:pStyle w:val="ListParagraph"/>
        <w:numPr>
          <w:ilvl w:val="1"/>
          <w:numId w:val="4"/>
        </w:numPr>
        <w:ind w:left="2520" w:hanging="476"/>
        <w:rPr>
          <w:rFonts w:ascii="Helvetica" w:eastAsia="Helvetica" w:hAnsi="Helvetica"/>
        </w:rPr>
      </w:pPr>
      <w:r>
        <w:rPr>
          <w:rFonts w:ascii="TT5555EFo00" w:eastAsia="TT5555EFo00" w:hAnsi="TT5555EFo00" w:cs="TT5555EFo00"/>
        </w:rPr>
        <w:t>the Funding Target;</w:t>
      </w:r>
    </w:p>
    <w:p w:rsidR="00170ADB" w:rsidRDefault="00170ADB" w:rsidP="00170ADB">
      <w:pPr>
        <w:pStyle w:val="ListParagraph"/>
        <w:numPr>
          <w:ilvl w:val="1"/>
          <w:numId w:val="4"/>
        </w:numPr>
        <w:ind w:left="2520" w:hanging="476"/>
        <w:rPr>
          <w:rFonts w:ascii="Helvetica" w:eastAsia="Helvetica" w:hAnsi="Helvetica"/>
        </w:rPr>
      </w:pPr>
      <w:r>
        <w:rPr>
          <w:rFonts w:ascii="TT5555EFo00" w:eastAsia="TT5555EFo00" w:hAnsi="TT5555EFo00" w:cs="TT5555EFo00"/>
        </w:rPr>
        <w:t>the collection of employee contributions;</w:t>
      </w:r>
    </w:p>
    <w:p w:rsidR="00170ADB" w:rsidRDefault="00170ADB" w:rsidP="00170ADB">
      <w:pPr>
        <w:pStyle w:val="ListParagraph"/>
        <w:numPr>
          <w:ilvl w:val="1"/>
          <w:numId w:val="4"/>
        </w:numPr>
        <w:ind w:left="2520" w:hanging="476"/>
        <w:rPr>
          <w:rFonts w:ascii="Helvetica" w:eastAsia="Helvetica" w:hAnsi="Helvetica"/>
        </w:rPr>
      </w:pPr>
      <w:r>
        <w:rPr>
          <w:rFonts w:ascii="TT5555EFo00" w:eastAsia="TT5555EFo00" w:hAnsi="TT5555EFo00" w:cs="TT5555EFo00"/>
        </w:rPr>
        <w:t>the collection of employer contributions;</w:t>
      </w:r>
    </w:p>
    <w:p w:rsidR="00170ADB" w:rsidRDefault="00170ADB" w:rsidP="00170ADB">
      <w:pPr>
        <w:pStyle w:val="ListParagraph"/>
        <w:numPr>
          <w:ilvl w:val="1"/>
          <w:numId w:val="4"/>
        </w:numPr>
        <w:ind w:left="2520" w:hanging="476"/>
        <w:rPr>
          <w:rFonts w:ascii="Helvetica" w:eastAsia="Helvetica" w:hAnsi="Helvetica"/>
        </w:rPr>
      </w:pPr>
      <w:r>
        <w:rPr>
          <w:rFonts w:ascii="TT5555EFo00" w:eastAsia="TT5555EFo00" w:hAnsi="TT5555EFo00" w:cs="TT5555EFo00"/>
        </w:rPr>
        <w:t>the collection of additional employer contributions; and</w:t>
      </w:r>
    </w:p>
    <w:p w:rsidR="00170ADB" w:rsidRDefault="00170ADB" w:rsidP="00170ADB">
      <w:pPr>
        <w:pStyle w:val="ListParagraph"/>
        <w:numPr>
          <w:ilvl w:val="1"/>
          <w:numId w:val="4"/>
        </w:numPr>
        <w:ind w:left="2520" w:hanging="476"/>
        <w:rPr>
          <w:rFonts w:ascii="Helvetica" w:eastAsia="Helvetica" w:hAnsi="Helvetica"/>
        </w:rPr>
      </w:pPr>
      <w:r>
        <w:rPr>
          <w:rFonts w:ascii="TT5555EFo00" w:eastAsia="TT5555EFo00" w:hAnsi="TT5555EFo00" w:cs="TT5555EFo00"/>
        </w:rPr>
        <w:t>Admissions and Terminations.</w:t>
      </w:r>
    </w:p>
    <w:p w:rsidR="00170ADB" w:rsidRDefault="00170ADB" w:rsidP="00170ADB">
      <w:pPr>
        <w:pStyle w:val="ListParagraph"/>
        <w:numPr>
          <w:ilvl w:val="0"/>
          <w:numId w:val="2"/>
        </w:numPr>
        <w:ind w:left="1418" w:hanging="709"/>
        <w:rPr>
          <w:rFonts w:ascii="Helvetica" w:eastAsia="Helvetica" w:hAnsi="Helvetica"/>
        </w:rPr>
      </w:pPr>
      <w:r>
        <w:rPr>
          <w:rFonts w:ascii="TT5555EFo00" w:eastAsia="TT5555EFo00" w:hAnsi="TT5555EFo00" w:cs="TT5555EFo00"/>
        </w:rPr>
        <w:t>Pensions Administration strategy statement;</w:t>
      </w:r>
    </w:p>
    <w:p w:rsidR="00170ADB" w:rsidRDefault="00170ADB" w:rsidP="00170ADB">
      <w:pPr>
        <w:pStyle w:val="ListParagraph"/>
        <w:numPr>
          <w:ilvl w:val="0"/>
          <w:numId w:val="2"/>
        </w:numPr>
        <w:ind w:left="1418" w:hanging="709"/>
        <w:rPr>
          <w:rFonts w:ascii="Helvetica" w:eastAsia="Helvetica" w:hAnsi="Helvetica"/>
        </w:rPr>
      </w:pPr>
      <w:r>
        <w:rPr>
          <w:rFonts w:ascii="TT5555EFo00" w:eastAsia="TT5555EFo00" w:hAnsi="TT5555EFo00" w:cs="TT5555EFo00"/>
        </w:rPr>
        <w:t>Communication Policy statement;</w:t>
      </w:r>
    </w:p>
    <w:p w:rsidR="00170ADB" w:rsidRDefault="00170ADB" w:rsidP="00170ADB">
      <w:pPr>
        <w:pStyle w:val="ListParagraph"/>
        <w:numPr>
          <w:ilvl w:val="0"/>
          <w:numId w:val="2"/>
        </w:numPr>
        <w:ind w:left="1418" w:hanging="698"/>
        <w:rPr>
          <w:rFonts w:ascii="Helvetica" w:eastAsia="Helvetica" w:hAnsi="Helvetica"/>
        </w:rPr>
      </w:pPr>
      <w:r>
        <w:rPr>
          <w:rFonts w:ascii="TT5555EFo00" w:eastAsia="TT5555EFo00" w:hAnsi="TT5555EFo00" w:cs="TT5555EFo00"/>
        </w:rPr>
        <w:t>Internal Dispute Resolution Procedure;</w:t>
      </w:r>
    </w:p>
    <w:p w:rsidR="00170ADB" w:rsidRDefault="00170ADB" w:rsidP="00170ADB">
      <w:pPr>
        <w:pStyle w:val="ListParagraph"/>
        <w:numPr>
          <w:ilvl w:val="0"/>
          <w:numId w:val="2"/>
        </w:numPr>
        <w:ind w:left="1418" w:hanging="709"/>
        <w:rPr>
          <w:rFonts w:ascii="Helvetica" w:eastAsia="Helvetica" w:hAnsi="Helvetica"/>
        </w:rPr>
      </w:pPr>
      <w:r>
        <w:rPr>
          <w:rFonts w:ascii="TT5555EFo00" w:eastAsia="TT5555EFo00" w:hAnsi="TT5555EFo00" w:cs="TT5555EFo00"/>
        </w:rPr>
        <w:t>Death Grant Procedure;</w:t>
      </w:r>
    </w:p>
    <w:p w:rsidR="00170ADB" w:rsidRDefault="00170ADB" w:rsidP="00170ADB">
      <w:pPr>
        <w:pStyle w:val="ListParagraph"/>
        <w:numPr>
          <w:ilvl w:val="0"/>
          <w:numId w:val="2"/>
        </w:numPr>
        <w:ind w:left="1418" w:hanging="709"/>
        <w:rPr>
          <w:rFonts w:ascii="Helvetica" w:eastAsia="Helvetica" w:hAnsi="Helvetica"/>
        </w:rPr>
      </w:pPr>
      <w:r>
        <w:rPr>
          <w:rFonts w:ascii="TT5555EFo00" w:eastAsia="TT5555EFo00" w:hAnsi="TT5555EFo00" w:cs="TT5555EFo00"/>
        </w:rPr>
        <w:t>Bulk Transfer Payment Policy;</w:t>
      </w:r>
    </w:p>
    <w:p w:rsidR="00170ADB" w:rsidRDefault="00170ADB" w:rsidP="00170ADB">
      <w:pPr>
        <w:pStyle w:val="ListParagraph"/>
        <w:numPr>
          <w:ilvl w:val="0"/>
          <w:numId w:val="2"/>
        </w:numPr>
        <w:ind w:left="1418" w:hanging="698"/>
        <w:rPr>
          <w:rFonts w:ascii="Helvetica" w:eastAsia="Helvetica" w:hAnsi="Helvetica"/>
        </w:rPr>
      </w:pPr>
      <w:r>
        <w:rPr>
          <w:rFonts w:ascii="TT5555EFo00" w:eastAsia="TT5555EFo00" w:hAnsi="TT5555EFo00" w:cs="TT5555EFo00"/>
        </w:rPr>
        <w:t>Commutation policy (small pensions);</w:t>
      </w:r>
    </w:p>
    <w:p w:rsidR="00170ADB" w:rsidRDefault="00170ADB" w:rsidP="00170ADB">
      <w:pPr>
        <w:pStyle w:val="ListParagraph"/>
        <w:numPr>
          <w:ilvl w:val="0"/>
          <w:numId w:val="2"/>
        </w:numPr>
        <w:ind w:left="1418" w:hanging="709"/>
        <w:rPr>
          <w:rFonts w:ascii="Helvetica" w:eastAsia="Helvetica" w:hAnsi="Helvetica"/>
        </w:rPr>
      </w:pPr>
      <w:r>
        <w:rPr>
          <w:rFonts w:ascii="TT5555EFo00" w:eastAsia="TT5555EFo00" w:hAnsi="TT5555EFo00" w:cs="TT5555EFo00"/>
        </w:rPr>
        <w:t>Transfer policy; and</w:t>
      </w:r>
    </w:p>
    <w:p w:rsidR="00170ADB" w:rsidRDefault="00170ADB" w:rsidP="00170ADB">
      <w:pPr>
        <w:pStyle w:val="ListParagraph"/>
        <w:numPr>
          <w:ilvl w:val="0"/>
          <w:numId w:val="2"/>
        </w:numPr>
        <w:ind w:left="1418" w:hanging="709"/>
        <w:rPr>
          <w:rFonts w:ascii="Helvetica" w:eastAsia="Helvetica" w:hAnsi="Helvetica"/>
        </w:rPr>
      </w:pPr>
      <w:r>
        <w:rPr>
          <w:rFonts w:ascii="TT5555EFo00" w:eastAsia="TT5555EFo00" w:hAnsi="TT5555EFo00" w:cs="TT5555EFo00"/>
        </w:rPr>
        <w:t>Abatement policy</w:t>
      </w:r>
    </w:p>
    <w:p w:rsidR="00170ADB" w:rsidRDefault="00170ADB" w:rsidP="00170ADB">
      <w:pPr>
        <w:pStyle w:val="Body"/>
        <w:ind w:left="720" w:hanging="720"/>
        <w:rPr>
          <w:rFonts w:ascii="TT5555EFo00" w:eastAsia="TT5555EFo00" w:hAnsi="TT5555EFo00" w:cs="TT5555EFo00"/>
          <w:lang w:val="en-US"/>
        </w:rPr>
      </w:pPr>
    </w:p>
    <w:p w:rsidR="00170ADB" w:rsidRDefault="00170ADB" w:rsidP="00170ADB">
      <w:pPr>
        <w:pStyle w:val="Body"/>
        <w:ind w:left="720" w:hanging="720"/>
        <w:rPr>
          <w:rFonts w:ascii="TT5555EFo00" w:eastAsia="TT5555EFo00" w:hAnsi="TT5555EFo00" w:cs="TT5555EFo00"/>
          <w:lang w:val="en-US"/>
        </w:rPr>
      </w:pPr>
      <w:r>
        <w:rPr>
          <w:rFonts w:ascii="TT5555EFo00" w:eastAsia="TT5555EFo00" w:hAnsi="TT5555EFo00" w:cs="TT5555EFo00"/>
          <w:lang w:val="en-US"/>
        </w:rPr>
        <w:t>Monitoring Performance</w:t>
      </w:r>
    </w:p>
    <w:p w:rsidR="00170ADB" w:rsidRDefault="00170ADB" w:rsidP="00170ADB">
      <w:pPr>
        <w:pStyle w:val="Body"/>
        <w:ind w:left="720" w:hanging="720"/>
        <w:rPr>
          <w:rFonts w:ascii="TT5555EFo00" w:eastAsia="TT5555EFo00" w:hAnsi="TT5555EFo00" w:cs="TT5555EFo00"/>
          <w:lang w:val="en-US"/>
        </w:rPr>
      </w:pPr>
    </w:p>
    <w:p w:rsidR="00170ADB" w:rsidRDefault="00170ADB" w:rsidP="00170ADB">
      <w:pPr>
        <w:pStyle w:val="Body"/>
        <w:ind w:left="720" w:hanging="720"/>
        <w:rPr>
          <w:rFonts w:ascii="TT5555EFo00" w:eastAsia="TT5555EFo00" w:hAnsi="TT5555EFo00" w:cs="TT5555EFo00"/>
          <w:lang w:val="en-US"/>
        </w:rPr>
      </w:pPr>
      <w:r>
        <w:rPr>
          <w:rFonts w:ascii="TT5555EFo00" w:eastAsia="TT5555EFo00" w:hAnsi="TT5555EFo00" w:cs="TT5555EFo00"/>
          <w:lang w:val="en-US"/>
        </w:rPr>
        <w:t>8.</w:t>
      </w:r>
      <w:r>
        <w:rPr>
          <w:rFonts w:ascii="TT5555EFo00" w:eastAsia="TT5555EFo00" w:hAnsi="TT5555EFo00" w:cs="TT5555EFo00"/>
          <w:lang w:val="en-US"/>
        </w:rPr>
        <w:tab/>
        <w:t xml:space="preserve">To receive periodic reports from the Director – Lancashire County Pension Fund to ensure that best practice is being adopted and value for money being delivered in relation to </w:t>
      </w:r>
    </w:p>
    <w:p w:rsidR="00170ADB" w:rsidRDefault="00170ADB" w:rsidP="00170ADB">
      <w:pPr>
        <w:pStyle w:val="Body"/>
        <w:ind w:left="1440" w:hanging="720"/>
        <w:rPr>
          <w:rFonts w:ascii="TT5555EFo00" w:eastAsia="TT5555EFo00" w:hAnsi="TT5555EFo00" w:cs="TT5555EFo00"/>
          <w:lang w:val="en-US"/>
        </w:rPr>
      </w:pPr>
    </w:p>
    <w:p w:rsidR="00170ADB" w:rsidRDefault="00170ADB" w:rsidP="00170ADB">
      <w:pPr>
        <w:pStyle w:val="ListParagraph"/>
        <w:numPr>
          <w:ilvl w:val="0"/>
          <w:numId w:val="6"/>
        </w:numPr>
        <w:ind w:left="1440" w:hanging="731"/>
        <w:rPr>
          <w:rFonts w:ascii="Helvetica" w:eastAsia="Helvetica" w:hAnsi="Helvetica" w:cs="Arial Unicode MS"/>
          <w:lang w:val="en-US"/>
        </w:rPr>
      </w:pPr>
      <w:r>
        <w:rPr>
          <w:rFonts w:ascii="TT5555EFo00" w:eastAsia="TT5555EFo00" w:hAnsi="TT5555EFo00" w:cs="TT5555EFo00"/>
        </w:rPr>
        <w:t>The performance of the Fund's investments;</w:t>
      </w:r>
    </w:p>
    <w:p w:rsidR="00170ADB" w:rsidRDefault="00170ADB" w:rsidP="00170ADB">
      <w:pPr>
        <w:pStyle w:val="ListParagraph"/>
        <w:numPr>
          <w:ilvl w:val="0"/>
          <w:numId w:val="6"/>
        </w:numPr>
        <w:ind w:left="1440" w:hanging="731"/>
        <w:rPr>
          <w:rFonts w:ascii="Helvetica" w:eastAsia="Helvetica" w:hAnsi="Helvetica"/>
        </w:rPr>
      </w:pPr>
      <w:r>
        <w:rPr>
          <w:rFonts w:ascii="TT5555EFo00" w:eastAsia="TT5555EFo00" w:hAnsi="TT5555EFo00" w:cs="TT5555EFo00"/>
        </w:rPr>
        <w:t xml:space="preserve">The performance of the Fund's administration service </w:t>
      </w:r>
    </w:p>
    <w:p w:rsidR="00170ADB" w:rsidRDefault="00170ADB" w:rsidP="00170ADB">
      <w:pPr>
        <w:pStyle w:val="Body"/>
        <w:ind w:left="720" w:hanging="720"/>
        <w:rPr>
          <w:rFonts w:ascii="TT5555EFo00" w:eastAsia="TT5555EFo00" w:hAnsi="TT5555EFo00" w:cs="TT5555EFo00"/>
          <w:lang w:val="en-US"/>
        </w:rPr>
      </w:pPr>
    </w:p>
    <w:p w:rsidR="00170ADB" w:rsidRDefault="00170ADB" w:rsidP="00170ADB">
      <w:pPr>
        <w:pStyle w:val="Body"/>
        <w:ind w:left="720" w:hanging="720"/>
        <w:rPr>
          <w:rFonts w:ascii="TT5555EFo00" w:eastAsia="TT5555EFo00" w:hAnsi="TT5555EFo00" w:cs="TT5555EFo00"/>
          <w:lang w:val="en-US"/>
        </w:rPr>
      </w:pPr>
      <w:r>
        <w:rPr>
          <w:rFonts w:ascii="TT5555EFo00" w:eastAsia="TT5555EFo00" w:hAnsi="TT5555EFo00" w:cs="TT5555EFo00"/>
          <w:lang w:val="en-US"/>
        </w:rPr>
        <w:t>Investment</w:t>
      </w:r>
    </w:p>
    <w:p w:rsidR="00170ADB" w:rsidRDefault="00170ADB" w:rsidP="00170ADB">
      <w:pPr>
        <w:pStyle w:val="Body"/>
        <w:ind w:left="720" w:hanging="720"/>
        <w:rPr>
          <w:rFonts w:ascii="TT5555EFo00" w:eastAsia="TT5555EFo00" w:hAnsi="TT5555EFo00" w:cs="TT5555EFo00"/>
          <w:lang w:val="en-US"/>
        </w:rPr>
      </w:pPr>
    </w:p>
    <w:p w:rsidR="00170ADB" w:rsidRDefault="00170ADB" w:rsidP="00170ADB">
      <w:pPr>
        <w:pStyle w:val="Body"/>
        <w:ind w:left="720" w:hanging="720"/>
        <w:rPr>
          <w:rFonts w:ascii="TT5555EFo00" w:eastAsia="TT5555EFo00" w:hAnsi="TT5555EFo00" w:cs="TT5555EFo00"/>
          <w:lang w:val="en-US"/>
        </w:rPr>
      </w:pPr>
      <w:r>
        <w:rPr>
          <w:rFonts w:ascii="TT5555EFo00" w:eastAsia="TT5555EFo00" w:hAnsi="TT5555EFo00" w:cs="TT5555EFo00"/>
          <w:lang w:val="en-US"/>
        </w:rPr>
        <w:t xml:space="preserve">9. </w:t>
      </w:r>
      <w:r>
        <w:rPr>
          <w:rFonts w:ascii="TT5555EFo00" w:eastAsia="TT5555EFo00" w:hAnsi="TT5555EFo00" w:cs="TT5555EFo00"/>
          <w:lang w:val="en-US"/>
        </w:rPr>
        <w:tab/>
        <w:t>To have overall responsibility for investment policy.</w:t>
      </w:r>
    </w:p>
    <w:p w:rsidR="00170ADB" w:rsidRDefault="00170ADB" w:rsidP="00170ADB">
      <w:pPr>
        <w:pStyle w:val="Body"/>
        <w:ind w:left="720" w:hanging="720"/>
        <w:rPr>
          <w:rFonts w:ascii="TT5555EFo00" w:eastAsia="TT5555EFo00" w:hAnsi="TT5555EFo00" w:cs="TT5555EFo00"/>
          <w:lang w:val="en-US"/>
        </w:rPr>
      </w:pPr>
    </w:p>
    <w:p w:rsidR="00170ADB" w:rsidRDefault="00170ADB" w:rsidP="00170ADB">
      <w:pPr>
        <w:pStyle w:val="Body"/>
        <w:ind w:left="720" w:hanging="720"/>
        <w:rPr>
          <w:rFonts w:ascii="TT5555EFo00" w:eastAsia="TT5555EFo00" w:hAnsi="TT5555EFo00" w:cs="TT5555EFo00"/>
          <w:lang w:val="en-US"/>
        </w:rPr>
      </w:pPr>
      <w:r>
        <w:rPr>
          <w:rFonts w:ascii="TT5555EFo00" w:eastAsia="TT5555EFo00" w:hAnsi="TT5555EFo00" w:cs="TT5555EFo00"/>
          <w:lang w:val="en-US"/>
        </w:rPr>
        <w:lastRenderedPageBreak/>
        <w:t>10.</w:t>
      </w:r>
      <w:r>
        <w:rPr>
          <w:rFonts w:ascii="TT5555EFo00" w:eastAsia="TT5555EFo00" w:hAnsi="TT5555EFo00" w:cs="TT5555EFo00"/>
          <w:lang w:val="en-US"/>
        </w:rPr>
        <w:tab/>
        <w:t>To approve and review on a regular basis an overall Investment Strategy and subsidiary Strategies for such asset classes as the Investment Panel consider appropriate.</w:t>
      </w:r>
    </w:p>
    <w:p w:rsidR="00170ADB" w:rsidRDefault="00170ADB" w:rsidP="00170ADB">
      <w:pPr>
        <w:pStyle w:val="Body"/>
        <w:rPr>
          <w:rFonts w:ascii="TT5555EFo00" w:eastAsia="TT5555EFo00" w:hAnsi="TT5555EFo00" w:cs="TT5555EFo00"/>
          <w:lang w:val="en-US"/>
        </w:rPr>
      </w:pPr>
    </w:p>
    <w:p w:rsidR="00170ADB" w:rsidRDefault="00170ADB" w:rsidP="00170ADB">
      <w:pPr>
        <w:pStyle w:val="Body"/>
        <w:ind w:left="720" w:hanging="720"/>
        <w:rPr>
          <w:rFonts w:ascii="TT5555EFo00" w:eastAsia="TT5555EFo00" w:hAnsi="TT5555EFo00" w:cs="TT5555EFo00"/>
          <w:lang w:val="en-US"/>
        </w:rPr>
      </w:pPr>
      <w:r>
        <w:rPr>
          <w:rFonts w:ascii="TT5555EFo00" w:eastAsia="TT5555EFo00" w:hAnsi="TT5555EFo00" w:cs="TT5555EFo00"/>
          <w:lang w:val="en-US"/>
        </w:rPr>
        <w:t xml:space="preserve">11. </w:t>
      </w:r>
      <w:r>
        <w:rPr>
          <w:rFonts w:ascii="TT5555EFo00" w:eastAsia="TT5555EFo00" w:hAnsi="TT5555EFo00" w:cs="TT5555EFo00"/>
          <w:lang w:val="en-US"/>
        </w:rPr>
        <w:tab/>
        <w:t>To submit an annual report to the Full Council on the performance and state of the Fund and on the investment activities during the year.</w:t>
      </w:r>
    </w:p>
    <w:p w:rsidR="00170ADB" w:rsidRDefault="00170ADB" w:rsidP="00170ADB">
      <w:pPr>
        <w:pStyle w:val="Body"/>
        <w:rPr>
          <w:rFonts w:ascii="TT5555EFo00" w:eastAsia="TT5555EFo00" w:hAnsi="TT5555EFo00" w:cs="TT5555EFo00"/>
          <w:lang w:val="en-US"/>
        </w:rPr>
      </w:pPr>
    </w:p>
    <w:p w:rsidR="00170ADB" w:rsidRDefault="00170ADB" w:rsidP="00170ADB">
      <w:pPr>
        <w:pStyle w:val="Body"/>
        <w:ind w:left="720" w:hanging="720"/>
        <w:rPr>
          <w:rFonts w:ascii="TT5555EFo00" w:eastAsia="TT5555EFo00" w:hAnsi="TT5555EFo00" w:cs="TT5555EFo00"/>
          <w:lang w:val="en-US"/>
        </w:rPr>
      </w:pPr>
      <w:r>
        <w:rPr>
          <w:rFonts w:ascii="TT5555EFo00" w:eastAsia="TT5555EFo00" w:hAnsi="TT5555EFo00" w:cs="TT5555EFo00"/>
          <w:lang w:val="en-US"/>
        </w:rPr>
        <w:t>12.</w:t>
      </w:r>
      <w:r>
        <w:rPr>
          <w:rFonts w:ascii="TT5555EFo00" w:eastAsia="TT5555EFo00" w:hAnsi="TT5555EFo00" w:cs="TT5555EFo00"/>
          <w:lang w:val="en-US"/>
        </w:rPr>
        <w:tab/>
        <w:t>To approve the policies and procedures for any internally managed Fund investments.</w:t>
      </w:r>
    </w:p>
    <w:p w:rsidR="00170ADB" w:rsidRDefault="00170ADB" w:rsidP="00170ADB">
      <w:pPr>
        <w:pStyle w:val="Body"/>
        <w:ind w:left="720" w:hanging="720"/>
        <w:rPr>
          <w:rFonts w:ascii="TT5555EFo00" w:eastAsia="TT5555EFo00" w:hAnsi="TT5555EFo00" w:cs="TT5555EFo00"/>
          <w:lang w:val="en-US"/>
        </w:rPr>
      </w:pPr>
    </w:p>
    <w:p w:rsidR="00170ADB" w:rsidRDefault="00170ADB" w:rsidP="00170ADB">
      <w:pPr>
        <w:pStyle w:val="Body"/>
        <w:ind w:left="720" w:hanging="720"/>
        <w:rPr>
          <w:rFonts w:ascii="TT5555EFo00" w:eastAsia="TT5555EFo00" w:hAnsi="TT5555EFo00" w:cs="TT5555EFo00"/>
          <w:lang w:val="en-US"/>
        </w:rPr>
      </w:pPr>
      <w:r>
        <w:rPr>
          <w:rFonts w:ascii="TT5555EFo00" w:eastAsia="TT5555EFo00" w:hAnsi="TT5555EFo00" w:cs="TT5555EFo00"/>
          <w:lang w:val="en-US"/>
        </w:rPr>
        <w:t>Procurement</w:t>
      </w:r>
    </w:p>
    <w:p w:rsidR="00170ADB" w:rsidRDefault="00170ADB" w:rsidP="00170ADB">
      <w:pPr>
        <w:pStyle w:val="Body"/>
        <w:ind w:left="720" w:hanging="720"/>
        <w:rPr>
          <w:rFonts w:ascii="TT5555EFo00" w:eastAsia="TT5555EFo00" w:hAnsi="TT5555EFo00" w:cs="TT5555EFo00"/>
          <w:lang w:val="en-US"/>
        </w:rPr>
      </w:pPr>
    </w:p>
    <w:p w:rsidR="00170ADB" w:rsidRDefault="00170ADB" w:rsidP="00170ADB">
      <w:pPr>
        <w:pStyle w:val="Body"/>
        <w:ind w:left="720" w:hanging="720"/>
        <w:rPr>
          <w:rFonts w:ascii="TT5555EFo00" w:eastAsia="TT5555EFo00" w:hAnsi="TT5555EFo00" w:cs="TT5555EFo00"/>
          <w:lang w:val="en-US"/>
        </w:rPr>
      </w:pPr>
      <w:r>
        <w:rPr>
          <w:rFonts w:ascii="TT5555EFo00" w:eastAsia="TT5555EFo00" w:hAnsi="TT5555EFo00" w:cs="TT5555EFo00"/>
          <w:lang w:val="en-US"/>
        </w:rPr>
        <w:t>13.</w:t>
      </w:r>
      <w:r>
        <w:rPr>
          <w:rFonts w:ascii="TT5555EFo00" w:eastAsia="TT5555EFo00" w:hAnsi="TT5555EFo00" w:cs="TT5555EFo00"/>
          <w:lang w:val="en-US"/>
        </w:rPr>
        <w:tab/>
        <w:t>To approve the procurement process, tender award criteria and evaluation methodology in advance of any tender being invited for the appointment of external advisers and other external assistance in relation to the management of the Fund, to include:</w:t>
      </w:r>
    </w:p>
    <w:p w:rsidR="00170ADB" w:rsidRDefault="00170ADB" w:rsidP="00170ADB">
      <w:pPr>
        <w:pStyle w:val="Body"/>
        <w:ind w:left="1276" w:hanging="425"/>
        <w:rPr>
          <w:rFonts w:ascii="TT5555EFo00" w:eastAsia="TT5555EFo00" w:hAnsi="TT5555EFo00" w:cs="TT5555EFo00"/>
          <w:lang w:val="en-US"/>
        </w:rPr>
      </w:pPr>
    </w:p>
    <w:p w:rsidR="00170ADB" w:rsidRDefault="00170ADB" w:rsidP="00170ADB">
      <w:pPr>
        <w:pStyle w:val="ListParagraph"/>
        <w:numPr>
          <w:ilvl w:val="0"/>
          <w:numId w:val="8"/>
        </w:numPr>
        <w:ind w:left="1560" w:hanging="709"/>
        <w:rPr>
          <w:rFonts w:ascii="Helvetica" w:eastAsia="Helvetica" w:hAnsi="Helvetica" w:cs="Arial Unicode MS"/>
          <w:lang w:val="en-US"/>
        </w:rPr>
      </w:pPr>
      <w:r>
        <w:rPr>
          <w:rFonts w:ascii="TT5555EFo00" w:eastAsia="TT5555EFo00" w:hAnsi="TT5555EFo00" w:cs="TT5555EFo00"/>
        </w:rPr>
        <w:t>external Investment Managers to discharge functions to be determined by the Committee relating to the management of the Fund’s investments;</w:t>
      </w:r>
    </w:p>
    <w:p w:rsidR="00170ADB" w:rsidRDefault="00170ADB" w:rsidP="00170ADB">
      <w:pPr>
        <w:pStyle w:val="ListParagraph"/>
        <w:numPr>
          <w:ilvl w:val="0"/>
          <w:numId w:val="8"/>
        </w:numPr>
        <w:ind w:left="1560" w:hanging="709"/>
        <w:rPr>
          <w:rFonts w:ascii="Helvetica" w:eastAsia="Helvetica" w:hAnsi="Helvetica"/>
        </w:rPr>
      </w:pPr>
      <w:r>
        <w:rPr>
          <w:rFonts w:ascii="TT5555EFo00" w:eastAsia="TT5555EFo00" w:hAnsi="TT5555EFo00" w:cs="TT5555EFo00"/>
        </w:rPr>
        <w:t>external property agents and advisors;</w:t>
      </w:r>
    </w:p>
    <w:p w:rsidR="00170ADB" w:rsidRDefault="00170ADB" w:rsidP="00170ADB">
      <w:pPr>
        <w:pStyle w:val="ListParagraph"/>
        <w:numPr>
          <w:ilvl w:val="0"/>
          <w:numId w:val="8"/>
        </w:numPr>
        <w:ind w:left="1560" w:hanging="709"/>
        <w:rPr>
          <w:rFonts w:ascii="Helvetica" w:eastAsia="Helvetica" w:hAnsi="Helvetica"/>
        </w:rPr>
      </w:pPr>
      <w:r>
        <w:rPr>
          <w:rFonts w:ascii="TT5555EFo00" w:eastAsia="TT5555EFo00" w:hAnsi="TT5555EFo00" w:cs="TT5555EFo00"/>
        </w:rPr>
        <w:t>an external corporate governance adviser;</w:t>
      </w:r>
    </w:p>
    <w:p w:rsidR="00170ADB" w:rsidRDefault="00170ADB" w:rsidP="00170ADB">
      <w:pPr>
        <w:pStyle w:val="ListParagraph"/>
        <w:numPr>
          <w:ilvl w:val="0"/>
          <w:numId w:val="8"/>
        </w:numPr>
        <w:ind w:left="1560" w:hanging="709"/>
        <w:rPr>
          <w:rFonts w:ascii="Helvetica" w:eastAsia="Helvetica" w:hAnsi="Helvetica"/>
        </w:rPr>
      </w:pPr>
      <w:r>
        <w:rPr>
          <w:rFonts w:ascii="TT5555EFo00" w:eastAsia="TT5555EFo00" w:hAnsi="TT5555EFo00" w:cs="TT5555EFo00"/>
        </w:rPr>
        <w:t>an external Fund custodian;</w:t>
      </w:r>
    </w:p>
    <w:p w:rsidR="00170ADB" w:rsidRDefault="00170ADB" w:rsidP="00170ADB">
      <w:pPr>
        <w:pStyle w:val="ListParagraph"/>
        <w:numPr>
          <w:ilvl w:val="0"/>
          <w:numId w:val="8"/>
        </w:numPr>
        <w:ind w:left="1560" w:hanging="709"/>
        <w:rPr>
          <w:rFonts w:ascii="Helvetica" w:eastAsia="Helvetica" w:hAnsi="Helvetica"/>
        </w:rPr>
      </w:pPr>
      <w:r>
        <w:rPr>
          <w:rFonts w:ascii="TT5555EFo00" w:eastAsia="TT5555EFo00" w:hAnsi="TT5555EFo00" w:cs="TT5555EFo00"/>
        </w:rPr>
        <w:t>external performance measurement advisers;</w:t>
      </w:r>
    </w:p>
    <w:p w:rsidR="00170ADB" w:rsidRDefault="00170ADB" w:rsidP="00170ADB">
      <w:pPr>
        <w:pStyle w:val="ListParagraph"/>
        <w:numPr>
          <w:ilvl w:val="0"/>
          <w:numId w:val="8"/>
        </w:numPr>
        <w:ind w:left="1560" w:hanging="709"/>
        <w:rPr>
          <w:rFonts w:ascii="Helvetica" w:eastAsia="Helvetica" w:hAnsi="Helvetica"/>
        </w:rPr>
      </w:pPr>
      <w:r>
        <w:rPr>
          <w:rFonts w:ascii="TT5555EFo00" w:eastAsia="TT5555EFo00" w:hAnsi="TT5555EFo00" w:cs="TT5555EFo00"/>
        </w:rPr>
        <w:t>the Fund Actuary; and</w:t>
      </w:r>
    </w:p>
    <w:p w:rsidR="00170ADB" w:rsidRDefault="00170ADB" w:rsidP="00170ADB">
      <w:pPr>
        <w:pStyle w:val="ListParagraph"/>
        <w:numPr>
          <w:ilvl w:val="0"/>
          <w:numId w:val="8"/>
        </w:numPr>
        <w:ind w:left="1560" w:hanging="709"/>
        <w:rPr>
          <w:rFonts w:ascii="Helvetica" w:eastAsia="Helvetica" w:hAnsi="Helvetica"/>
        </w:rPr>
      </w:pPr>
      <w:proofErr w:type="gramStart"/>
      <w:r>
        <w:rPr>
          <w:rFonts w:ascii="TT5555EFo00" w:eastAsia="TT5555EFo00" w:hAnsi="TT5555EFo00" w:cs="TT5555EFo00"/>
        </w:rPr>
        <w:t>the</w:t>
      </w:r>
      <w:proofErr w:type="gramEnd"/>
      <w:r>
        <w:rPr>
          <w:rFonts w:ascii="TT5555EFo00" w:eastAsia="TT5555EFo00" w:hAnsi="TT5555EFo00" w:cs="TT5555EFo00"/>
        </w:rPr>
        <w:t xml:space="preserve"> Fund’s AVC Provider.</w:t>
      </w:r>
    </w:p>
    <w:p w:rsidR="00097491" w:rsidRDefault="00097491"/>
    <w:sectPr w:rsidR="0009749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ADB" w:rsidRDefault="00170ADB" w:rsidP="00170ADB">
      <w:r>
        <w:separator/>
      </w:r>
    </w:p>
  </w:endnote>
  <w:endnote w:type="continuationSeparator" w:id="0">
    <w:p w:rsidR="00170ADB" w:rsidRDefault="00170ADB" w:rsidP="0017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T5555EFo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5555F0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DB" w:rsidRDefault="00170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DB" w:rsidRDefault="00170A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DB" w:rsidRDefault="00170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ADB" w:rsidRDefault="00170ADB" w:rsidP="00170ADB">
      <w:r>
        <w:separator/>
      </w:r>
    </w:p>
  </w:footnote>
  <w:footnote w:type="continuationSeparator" w:id="0">
    <w:p w:rsidR="00170ADB" w:rsidRDefault="00170ADB" w:rsidP="00170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DB" w:rsidRDefault="00170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DB" w:rsidRPr="00170ADB" w:rsidRDefault="00170ADB" w:rsidP="00170ADB">
    <w:pPr>
      <w:pStyle w:val="Header"/>
      <w:jc w:val="right"/>
      <w:rPr>
        <w:b/>
      </w:rPr>
    </w:pPr>
    <w:bookmarkStart w:id="0" w:name="_GoBack"/>
    <w:r w:rsidRPr="00170ADB">
      <w:rPr>
        <w:b/>
      </w:rPr>
      <w:t>Appendix A</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DB" w:rsidRDefault="00170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80659"/>
    <w:multiLevelType w:val="multilevel"/>
    <w:tmpl w:val="7866798E"/>
    <w:styleLink w:val="List18"/>
    <w:lvl w:ilvl="0">
      <w:start w:val="1"/>
      <w:numFmt w:val="lowerLetter"/>
      <w:lvlText w:val="%1."/>
      <w:lvlJc w:val="left"/>
      <w:pPr>
        <w:ind w:left="0" w:firstLine="0"/>
      </w:pPr>
      <w:rPr>
        <w:rFonts w:ascii="Helvetica" w:eastAsia="Helvetica" w:hAnsi="Helvetica" w:cs="Helvetica"/>
        <w:color w:val="000000"/>
        <w:position w:val="0"/>
        <w:u w:color="000000"/>
        <w:lang w:val="en-US"/>
      </w:rPr>
    </w:lvl>
    <w:lvl w:ilvl="1">
      <w:start w:val="1"/>
      <w:numFmt w:val="lowerLetter"/>
      <w:lvlText w:val="%2."/>
      <w:lvlJc w:val="left"/>
      <w:pPr>
        <w:ind w:left="0" w:firstLine="0"/>
      </w:pPr>
      <w:rPr>
        <w:rFonts w:ascii="TT5555EFo00" w:eastAsia="TT5555EFo00" w:hAnsi="TT5555EFo00" w:cs="TT5555EFo00"/>
        <w:color w:val="000000"/>
        <w:position w:val="0"/>
        <w:u w:color="000000"/>
        <w:lang w:val="en-US"/>
      </w:rPr>
    </w:lvl>
    <w:lvl w:ilvl="2">
      <w:start w:val="1"/>
      <w:numFmt w:val="lowerRoman"/>
      <w:lvlText w:val="%3."/>
      <w:lvlJc w:val="left"/>
      <w:pPr>
        <w:ind w:left="0" w:firstLine="0"/>
      </w:pPr>
      <w:rPr>
        <w:rFonts w:ascii="TT5555EFo00" w:eastAsia="TT5555EFo00" w:hAnsi="TT5555EFo00" w:cs="TT5555EFo00"/>
        <w:color w:val="000000"/>
        <w:position w:val="0"/>
        <w:u w:color="000000"/>
        <w:lang w:val="en-US"/>
      </w:rPr>
    </w:lvl>
    <w:lvl w:ilvl="3">
      <w:start w:val="1"/>
      <w:numFmt w:val="decimal"/>
      <w:lvlText w:val="%4."/>
      <w:lvlJc w:val="left"/>
      <w:pPr>
        <w:ind w:left="0" w:firstLine="0"/>
      </w:pPr>
      <w:rPr>
        <w:rFonts w:ascii="TT5555EFo00" w:eastAsia="TT5555EFo00" w:hAnsi="TT5555EFo00" w:cs="TT5555EFo00"/>
        <w:color w:val="000000"/>
        <w:position w:val="0"/>
        <w:u w:color="000000"/>
        <w:lang w:val="en-US"/>
      </w:rPr>
    </w:lvl>
    <w:lvl w:ilvl="4">
      <w:start w:val="1"/>
      <w:numFmt w:val="lowerLetter"/>
      <w:lvlText w:val="%5."/>
      <w:lvlJc w:val="left"/>
      <w:pPr>
        <w:ind w:left="0" w:firstLine="0"/>
      </w:pPr>
      <w:rPr>
        <w:rFonts w:ascii="TT5555EFo00" w:eastAsia="TT5555EFo00" w:hAnsi="TT5555EFo00" w:cs="TT5555EFo00"/>
        <w:color w:val="000000"/>
        <w:position w:val="0"/>
        <w:u w:color="000000"/>
        <w:lang w:val="en-US"/>
      </w:rPr>
    </w:lvl>
    <w:lvl w:ilvl="5">
      <w:start w:val="1"/>
      <w:numFmt w:val="lowerRoman"/>
      <w:lvlText w:val="%6."/>
      <w:lvlJc w:val="left"/>
      <w:pPr>
        <w:ind w:left="0" w:firstLine="0"/>
      </w:pPr>
      <w:rPr>
        <w:rFonts w:ascii="TT5555EFo00" w:eastAsia="TT5555EFo00" w:hAnsi="TT5555EFo00" w:cs="TT5555EFo00"/>
        <w:color w:val="000000"/>
        <w:position w:val="0"/>
        <w:u w:color="000000"/>
        <w:lang w:val="en-US"/>
      </w:rPr>
    </w:lvl>
    <w:lvl w:ilvl="6">
      <w:start w:val="1"/>
      <w:numFmt w:val="decimal"/>
      <w:lvlText w:val="%7."/>
      <w:lvlJc w:val="left"/>
      <w:pPr>
        <w:ind w:left="0" w:firstLine="0"/>
      </w:pPr>
      <w:rPr>
        <w:rFonts w:ascii="TT5555EFo00" w:eastAsia="TT5555EFo00" w:hAnsi="TT5555EFo00" w:cs="TT5555EFo00"/>
        <w:color w:val="000000"/>
        <w:position w:val="0"/>
        <w:u w:color="000000"/>
        <w:lang w:val="en-US"/>
      </w:rPr>
    </w:lvl>
    <w:lvl w:ilvl="7">
      <w:start w:val="1"/>
      <w:numFmt w:val="lowerLetter"/>
      <w:lvlText w:val="%8."/>
      <w:lvlJc w:val="left"/>
      <w:pPr>
        <w:ind w:left="0" w:firstLine="0"/>
      </w:pPr>
      <w:rPr>
        <w:rFonts w:ascii="TT5555EFo00" w:eastAsia="TT5555EFo00" w:hAnsi="TT5555EFo00" w:cs="TT5555EFo00"/>
        <w:color w:val="000000"/>
        <w:position w:val="0"/>
        <w:u w:color="000000"/>
        <w:lang w:val="en-US"/>
      </w:rPr>
    </w:lvl>
    <w:lvl w:ilvl="8">
      <w:start w:val="1"/>
      <w:numFmt w:val="lowerRoman"/>
      <w:lvlText w:val="%9."/>
      <w:lvlJc w:val="left"/>
      <w:pPr>
        <w:ind w:left="0" w:firstLine="0"/>
      </w:pPr>
      <w:rPr>
        <w:rFonts w:ascii="TT5555EFo00" w:eastAsia="TT5555EFo00" w:hAnsi="TT5555EFo00" w:cs="TT5555EFo00"/>
        <w:color w:val="000000"/>
        <w:position w:val="0"/>
        <w:u w:color="000000"/>
        <w:lang w:val="en-US"/>
      </w:rPr>
    </w:lvl>
  </w:abstractNum>
  <w:abstractNum w:abstractNumId="1">
    <w:nsid w:val="47C355CE"/>
    <w:multiLevelType w:val="multilevel"/>
    <w:tmpl w:val="D79E82D8"/>
    <w:styleLink w:val="List16"/>
    <w:lvl w:ilvl="0">
      <w:start w:val="1"/>
      <w:numFmt w:val="lowerLetter"/>
      <w:lvlText w:val="%1."/>
      <w:lvlJc w:val="left"/>
      <w:pPr>
        <w:ind w:left="0" w:firstLine="0"/>
      </w:pPr>
      <w:rPr>
        <w:rFonts w:ascii="TT5555EFo00" w:eastAsia="TT5555EFo00" w:hAnsi="TT5555EFo00" w:cs="TT5555EFo00"/>
        <w:color w:val="000000"/>
        <w:position w:val="0"/>
        <w:u w:color="000000"/>
        <w:lang w:val="en-US"/>
      </w:rPr>
    </w:lvl>
    <w:lvl w:ilvl="1">
      <w:start w:val="1"/>
      <w:numFmt w:val="lowerLetter"/>
      <w:lvlText w:val="%2."/>
      <w:lvlJc w:val="left"/>
      <w:pPr>
        <w:ind w:left="0" w:firstLine="0"/>
      </w:pPr>
      <w:rPr>
        <w:rFonts w:ascii="TT5555EFo00" w:eastAsia="TT5555EFo00" w:hAnsi="TT5555EFo00" w:cs="TT5555EFo00"/>
        <w:color w:val="000000"/>
        <w:position w:val="0"/>
        <w:u w:color="000000"/>
        <w:lang w:val="en-US"/>
      </w:rPr>
    </w:lvl>
    <w:lvl w:ilvl="2">
      <w:start w:val="1"/>
      <w:numFmt w:val="lowerRoman"/>
      <w:lvlText w:val="%3."/>
      <w:lvlJc w:val="left"/>
      <w:pPr>
        <w:ind w:left="0" w:firstLine="0"/>
      </w:pPr>
      <w:rPr>
        <w:rFonts w:ascii="TT5555EFo00" w:eastAsia="TT5555EFo00" w:hAnsi="TT5555EFo00" w:cs="TT5555EFo00"/>
        <w:color w:val="000000"/>
        <w:position w:val="0"/>
        <w:u w:color="000000"/>
        <w:lang w:val="en-US"/>
      </w:rPr>
    </w:lvl>
    <w:lvl w:ilvl="3">
      <w:start w:val="1"/>
      <w:numFmt w:val="decimal"/>
      <w:lvlText w:val="%4."/>
      <w:lvlJc w:val="left"/>
      <w:pPr>
        <w:ind w:left="0" w:firstLine="0"/>
      </w:pPr>
      <w:rPr>
        <w:rFonts w:ascii="TT5555EFo00" w:eastAsia="TT5555EFo00" w:hAnsi="TT5555EFo00" w:cs="TT5555EFo00"/>
        <w:color w:val="000000"/>
        <w:position w:val="0"/>
        <w:u w:color="000000"/>
        <w:lang w:val="en-US"/>
      </w:rPr>
    </w:lvl>
    <w:lvl w:ilvl="4">
      <w:start w:val="1"/>
      <w:numFmt w:val="lowerLetter"/>
      <w:lvlText w:val="%5."/>
      <w:lvlJc w:val="left"/>
      <w:pPr>
        <w:ind w:left="0" w:firstLine="0"/>
      </w:pPr>
      <w:rPr>
        <w:rFonts w:ascii="TT5555EFo00" w:eastAsia="TT5555EFo00" w:hAnsi="TT5555EFo00" w:cs="TT5555EFo00"/>
        <w:color w:val="000000"/>
        <w:position w:val="0"/>
        <w:u w:color="000000"/>
        <w:lang w:val="en-US"/>
      </w:rPr>
    </w:lvl>
    <w:lvl w:ilvl="5">
      <w:start w:val="1"/>
      <w:numFmt w:val="lowerRoman"/>
      <w:lvlText w:val="%6."/>
      <w:lvlJc w:val="left"/>
      <w:pPr>
        <w:ind w:left="0" w:firstLine="0"/>
      </w:pPr>
      <w:rPr>
        <w:rFonts w:ascii="TT5555EFo00" w:eastAsia="TT5555EFo00" w:hAnsi="TT5555EFo00" w:cs="TT5555EFo00"/>
        <w:color w:val="000000"/>
        <w:position w:val="0"/>
        <w:u w:color="000000"/>
        <w:lang w:val="en-US"/>
      </w:rPr>
    </w:lvl>
    <w:lvl w:ilvl="6">
      <w:start w:val="1"/>
      <w:numFmt w:val="decimal"/>
      <w:lvlText w:val="%7."/>
      <w:lvlJc w:val="left"/>
      <w:pPr>
        <w:ind w:left="0" w:firstLine="0"/>
      </w:pPr>
      <w:rPr>
        <w:rFonts w:ascii="TT5555EFo00" w:eastAsia="TT5555EFo00" w:hAnsi="TT5555EFo00" w:cs="TT5555EFo00"/>
        <w:color w:val="000000"/>
        <w:position w:val="0"/>
        <w:u w:color="000000"/>
        <w:lang w:val="en-US"/>
      </w:rPr>
    </w:lvl>
    <w:lvl w:ilvl="7">
      <w:start w:val="1"/>
      <w:numFmt w:val="lowerLetter"/>
      <w:lvlText w:val="%8."/>
      <w:lvlJc w:val="left"/>
      <w:pPr>
        <w:ind w:left="0" w:firstLine="0"/>
      </w:pPr>
      <w:rPr>
        <w:rFonts w:ascii="TT5555EFo00" w:eastAsia="TT5555EFo00" w:hAnsi="TT5555EFo00" w:cs="TT5555EFo00"/>
        <w:color w:val="000000"/>
        <w:position w:val="0"/>
        <w:u w:color="000000"/>
        <w:lang w:val="en-US"/>
      </w:rPr>
    </w:lvl>
    <w:lvl w:ilvl="8">
      <w:start w:val="1"/>
      <w:numFmt w:val="lowerRoman"/>
      <w:lvlText w:val="%9."/>
      <w:lvlJc w:val="left"/>
      <w:pPr>
        <w:ind w:left="0" w:firstLine="0"/>
      </w:pPr>
      <w:rPr>
        <w:rFonts w:ascii="TT5555EFo00" w:eastAsia="TT5555EFo00" w:hAnsi="TT5555EFo00" w:cs="TT5555EFo00"/>
        <w:color w:val="000000"/>
        <w:position w:val="0"/>
        <w:u w:color="000000"/>
        <w:lang w:val="en-US"/>
      </w:rPr>
    </w:lvl>
  </w:abstractNum>
  <w:abstractNum w:abstractNumId="2">
    <w:nsid w:val="5B2A3418"/>
    <w:multiLevelType w:val="multilevel"/>
    <w:tmpl w:val="77C8BB74"/>
    <w:styleLink w:val="List19"/>
    <w:lvl w:ilvl="0">
      <w:start w:val="1"/>
      <w:numFmt w:val="lowerLetter"/>
      <w:lvlText w:val="%1."/>
      <w:lvlJc w:val="left"/>
      <w:pPr>
        <w:ind w:left="0" w:firstLine="0"/>
      </w:pPr>
      <w:rPr>
        <w:rFonts w:ascii="Helvetica" w:eastAsia="Helvetica" w:hAnsi="Helvetica" w:cs="Helvetica"/>
        <w:color w:val="000000"/>
        <w:position w:val="0"/>
        <w:u w:color="000000"/>
        <w:lang w:val="en-US"/>
      </w:rPr>
    </w:lvl>
    <w:lvl w:ilvl="1">
      <w:start w:val="1"/>
      <w:numFmt w:val="lowerRoman"/>
      <w:lvlText w:val="%2."/>
      <w:lvlJc w:val="left"/>
      <w:pPr>
        <w:ind w:left="0" w:firstLine="0"/>
      </w:pPr>
      <w:rPr>
        <w:rFonts w:ascii="TT5555EFo00" w:eastAsia="TT5555EFo00" w:hAnsi="TT5555EFo00" w:cs="TT5555EFo00"/>
        <w:color w:val="000000"/>
        <w:position w:val="0"/>
        <w:u w:color="000000"/>
        <w:lang w:val="en-US"/>
      </w:rPr>
    </w:lvl>
    <w:lvl w:ilvl="2">
      <w:start w:val="1"/>
      <w:numFmt w:val="lowerLetter"/>
      <w:lvlText w:val="%3."/>
      <w:lvlJc w:val="left"/>
      <w:pPr>
        <w:ind w:left="0" w:firstLine="0"/>
      </w:pPr>
      <w:rPr>
        <w:rFonts w:ascii="TT5555EFo00" w:eastAsia="TT5555EFo00" w:hAnsi="TT5555EFo00" w:cs="TT5555EFo00"/>
        <w:color w:val="000000"/>
        <w:position w:val="0"/>
        <w:u w:color="000000"/>
        <w:lang w:val="en-US"/>
      </w:rPr>
    </w:lvl>
    <w:lvl w:ilvl="3">
      <w:start w:val="1"/>
      <w:numFmt w:val="decimal"/>
      <w:lvlText w:val="%4."/>
      <w:lvlJc w:val="left"/>
      <w:pPr>
        <w:ind w:left="0" w:firstLine="0"/>
      </w:pPr>
      <w:rPr>
        <w:rFonts w:ascii="TT5555EFo00" w:eastAsia="TT5555EFo00" w:hAnsi="TT5555EFo00" w:cs="TT5555EFo00"/>
        <w:color w:val="000000"/>
        <w:position w:val="0"/>
        <w:u w:color="000000"/>
        <w:lang w:val="en-US"/>
      </w:rPr>
    </w:lvl>
    <w:lvl w:ilvl="4">
      <w:start w:val="1"/>
      <w:numFmt w:val="lowerLetter"/>
      <w:lvlText w:val="%5."/>
      <w:lvlJc w:val="left"/>
      <w:pPr>
        <w:ind w:left="0" w:firstLine="0"/>
      </w:pPr>
      <w:rPr>
        <w:rFonts w:ascii="TT5555EFo00" w:eastAsia="TT5555EFo00" w:hAnsi="TT5555EFo00" w:cs="TT5555EFo00"/>
        <w:color w:val="000000"/>
        <w:position w:val="0"/>
        <w:u w:color="000000"/>
        <w:lang w:val="en-US"/>
      </w:rPr>
    </w:lvl>
    <w:lvl w:ilvl="5">
      <w:start w:val="1"/>
      <w:numFmt w:val="lowerRoman"/>
      <w:lvlText w:val="%6."/>
      <w:lvlJc w:val="left"/>
      <w:pPr>
        <w:ind w:left="0" w:firstLine="0"/>
      </w:pPr>
      <w:rPr>
        <w:rFonts w:ascii="TT5555EFo00" w:eastAsia="TT5555EFo00" w:hAnsi="TT5555EFo00" w:cs="TT5555EFo00"/>
        <w:color w:val="000000"/>
        <w:position w:val="0"/>
        <w:u w:color="000000"/>
        <w:lang w:val="en-US"/>
      </w:rPr>
    </w:lvl>
    <w:lvl w:ilvl="6">
      <w:start w:val="1"/>
      <w:numFmt w:val="decimal"/>
      <w:lvlText w:val="%7."/>
      <w:lvlJc w:val="left"/>
      <w:pPr>
        <w:ind w:left="0" w:firstLine="0"/>
      </w:pPr>
      <w:rPr>
        <w:rFonts w:ascii="TT5555EFo00" w:eastAsia="TT5555EFo00" w:hAnsi="TT5555EFo00" w:cs="TT5555EFo00"/>
        <w:color w:val="000000"/>
        <w:position w:val="0"/>
        <w:u w:color="000000"/>
        <w:lang w:val="en-US"/>
      </w:rPr>
    </w:lvl>
    <w:lvl w:ilvl="7">
      <w:start w:val="1"/>
      <w:numFmt w:val="lowerLetter"/>
      <w:lvlText w:val="%8."/>
      <w:lvlJc w:val="left"/>
      <w:pPr>
        <w:ind w:left="0" w:firstLine="0"/>
      </w:pPr>
      <w:rPr>
        <w:rFonts w:ascii="TT5555EFo00" w:eastAsia="TT5555EFo00" w:hAnsi="TT5555EFo00" w:cs="TT5555EFo00"/>
        <w:color w:val="000000"/>
        <w:position w:val="0"/>
        <w:u w:color="000000"/>
        <w:lang w:val="en-US"/>
      </w:rPr>
    </w:lvl>
    <w:lvl w:ilvl="8">
      <w:start w:val="1"/>
      <w:numFmt w:val="lowerRoman"/>
      <w:lvlText w:val="%9."/>
      <w:lvlJc w:val="left"/>
      <w:pPr>
        <w:ind w:left="0" w:firstLine="0"/>
      </w:pPr>
      <w:rPr>
        <w:rFonts w:ascii="TT5555EFo00" w:eastAsia="TT5555EFo00" w:hAnsi="TT5555EFo00" w:cs="TT5555EFo00"/>
        <w:color w:val="000000"/>
        <w:position w:val="0"/>
        <w:u w:color="000000"/>
        <w:lang w:val="en-US"/>
      </w:rPr>
    </w:lvl>
  </w:abstractNum>
  <w:abstractNum w:abstractNumId="3">
    <w:nsid w:val="5CAB49E4"/>
    <w:multiLevelType w:val="multilevel"/>
    <w:tmpl w:val="0E4026EE"/>
    <w:styleLink w:val="List17"/>
    <w:lvl w:ilvl="0">
      <w:start w:val="1"/>
      <w:numFmt w:val="lowerLetter"/>
      <w:lvlText w:val="%1."/>
      <w:lvlJc w:val="left"/>
      <w:pPr>
        <w:ind w:left="0" w:firstLine="0"/>
      </w:pPr>
      <w:rPr>
        <w:rFonts w:ascii="TT5555EFo00" w:eastAsia="TT5555EFo00" w:hAnsi="TT5555EFo00" w:cs="TT5555EFo00"/>
        <w:color w:val="000000"/>
        <w:position w:val="0"/>
        <w:u w:color="000000"/>
        <w:lang w:val="en-US"/>
      </w:rPr>
    </w:lvl>
    <w:lvl w:ilvl="1">
      <w:start w:val="1"/>
      <w:numFmt w:val="lowerRoman"/>
      <w:lvlText w:val="%2."/>
      <w:lvlJc w:val="left"/>
      <w:pPr>
        <w:ind w:left="0" w:firstLine="0"/>
      </w:pPr>
      <w:rPr>
        <w:rFonts w:ascii="Helvetica" w:eastAsia="Helvetica" w:hAnsi="Helvetica" w:cs="Helvetica"/>
        <w:color w:val="000000"/>
        <w:position w:val="0"/>
        <w:u w:color="000000"/>
        <w:lang w:val="en-US"/>
      </w:rPr>
    </w:lvl>
    <w:lvl w:ilvl="2">
      <w:start w:val="1"/>
      <w:numFmt w:val="lowerLetter"/>
      <w:lvlText w:val="%3."/>
      <w:lvlJc w:val="left"/>
      <w:pPr>
        <w:ind w:left="0" w:firstLine="0"/>
      </w:pPr>
      <w:rPr>
        <w:rFonts w:ascii="TT5555EFo00" w:eastAsia="TT5555EFo00" w:hAnsi="TT5555EFo00" w:cs="TT5555EFo00"/>
        <w:color w:val="000000"/>
        <w:position w:val="0"/>
        <w:u w:color="000000"/>
        <w:lang w:val="en-US"/>
      </w:rPr>
    </w:lvl>
    <w:lvl w:ilvl="3">
      <w:start w:val="1"/>
      <w:numFmt w:val="decimal"/>
      <w:lvlText w:val="%4."/>
      <w:lvlJc w:val="left"/>
      <w:pPr>
        <w:ind w:left="0" w:firstLine="0"/>
      </w:pPr>
      <w:rPr>
        <w:rFonts w:ascii="TT5555EFo00" w:eastAsia="TT5555EFo00" w:hAnsi="TT5555EFo00" w:cs="TT5555EFo00"/>
        <w:color w:val="000000"/>
        <w:position w:val="0"/>
        <w:u w:color="000000"/>
        <w:lang w:val="en-US"/>
      </w:rPr>
    </w:lvl>
    <w:lvl w:ilvl="4">
      <w:start w:val="1"/>
      <w:numFmt w:val="lowerLetter"/>
      <w:lvlText w:val="%5."/>
      <w:lvlJc w:val="left"/>
      <w:pPr>
        <w:ind w:left="0" w:firstLine="0"/>
      </w:pPr>
      <w:rPr>
        <w:rFonts w:ascii="TT5555EFo00" w:eastAsia="TT5555EFo00" w:hAnsi="TT5555EFo00" w:cs="TT5555EFo00"/>
        <w:color w:val="000000"/>
        <w:position w:val="0"/>
        <w:u w:color="000000"/>
        <w:lang w:val="en-US"/>
      </w:rPr>
    </w:lvl>
    <w:lvl w:ilvl="5">
      <w:start w:val="1"/>
      <w:numFmt w:val="lowerRoman"/>
      <w:lvlText w:val="%6."/>
      <w:lvlJc w:val="left"/>
      <w:pPr>
        <w:ind w:left="0" w:firstLine="0"/>
      </w:pPr>
      <w:rPr>
        <w:rFonts w:ascii="TT5555EFo00" w:eastAsia="TT5555EFo00" w:hAnsi="TT5555EFo00" w:cs="TT5555EFo00"/>
        <w:color w:val="000000"/>
        <w:position w:val="0"/>
        <w:u w:color="000000"/>
        <w:lang w:val="en-US"/>
      </w:rPr>
    </w:lvl>
    <w:lvl w:ilvl="6">
      <w:start w:val="1"/>
      <w:numFmt w:val="decimal"/>
      <w:lvlText w:val="%7."/>
      <w:lvlJc w:val="left"/>
      <w:pPr>
        <w:ind w:left="0" w:firstLine="0"/>
      </w:pPr>
      <w:rPr>
        <w:rFonts w:ascii="TT5555EFo00" w:eastAsia="TT5555EFo00" w:hAnsi="TT5555EFo00" w:cs="TT5555EFo00"/>
        <w:color w:val="000000"/>
        <w:position w:val="0"/>
        <w:u w:color="000000"/>
        <w:lang w:val="en-US"/>
      </w:rPr>
    </w:lvl>
    <w:lvl w:ilvl="7">
      <w:start w:val="1"/>
      <w:numFmt w:val="lowerLetter"/>
      <w:lvlText w:val="%8."/>
      <w:lvlJc w:val="left"/>
      <w:pPr>
        <w:ind w:left="0" w:firstLine="0"/>
      </w:pPr>
      <w:rPr>
        <w:rFonts w:ascii="TT5555EFo00" w:eastAsia="TT5555EFo00" w:hAnsi="TT5555EFo00" w:cs="TT5555EFo00"/>
        <w:color w:val="000000"/>
        <w:position w:val="0"/>
        <w:u w:color="000000"/>
        <w:lang w:val="en-US"/>
      </w:rPr>
    </w:lvl>
    <w:lvl w:ilvl="8">
      <w:start w:val="1"/>
      <w:numFmt w:val="lowerRoman"/>
      <w:lvlText w:val="%9."/>
      <w:lvlJc w:val="left"/>
      <w:pPr>
        <w:ind w:left="0" w:firstLine="0"/>
      </w:pPr>
      <w:rPr>
        <w:rFonts w:ascii="TT5555EFo00" w:eastAsia="TT5555EFo00" w:hAnsi="TT5555EFo00" w:cs="TT5555EFo00"/>
        <w:color w:val="000000"/>
        <w:position w:val="0"/>
        <w:u w:color="000000"/>
        <w:lang w:val="en-US"/>
      </w:rPr>
    </w:lvl>
  </w:abstractNum>
  <w:num w:numId="1">
    <w:abstractNumId w:val="1"/>
  </w:num>
  <w:num w:numId="2">
    <w:abstractNumId w:val="1"/>
    <w:lvlOverride w:ilvl="0">
      <w:lvl w:ilvl="0">
        <w:start w:val="1"/>
        <w:numFmt w:val="lowerLetter"/>
        <w:lvlText w:val="%1."/>
        <w:lvlJc w:val="left"/>
        <w:pPr>
          <w:ind w:left="0" w:firstLine="0"/>
        </w:pPr>
        <w:rPr>
          <w:rFonts w:ascii="TT5555EFo00" w:eastAsia="TT5555EFo00" w:hAnsi="TT5555EFo00" w:cs="TT5555EFo00"/>
          <w:color w:val="000000"/>
          <w:position w:val="0"/>
          <w:u w:color="000000"/>
          <w:lang w:val="en-US"/>
        </w:rPr>
      </w:lvl>
    </w:lvlOverride>
    <w:lvlOverride w:ilvl="1">
      <w:lvl w:ilvl="1">
        <w:start w:val="1"/>
        <w:numFmt w:val="lowerLetter"/>
        <w:lvlText w:val="%2."/>
        <w:lvlJc w:val="left"/>
        <w:pPr>
          <w:ind w:left="0" w:firstLine="0"/>
        </w:pPr>
        <w:rPr>
          <w:rFonts w:ascii="TT5555EFo00" w:eastAsia="TT5555EFo00" w:hAnsi="TT5555EFo00" w:cs="TT5555EFo00"/>
          <w:color w:val="000000"/>
          <w:position w:val="0"/>
          <w:u w:color="000000"/>
          <w:lang w:val="en-US"/>
        </w:rPr>
      </w:lvl>
    </w:lvlOverride>
    <w:lvlOverride w:ilvl="2">
      <w:lvl w:ilvl="2">
        <w:start w:val="1"/>
        <w:numFmt w:val="lowerRoman"/>
        <w:lvlText w:val="%3."/>
        <w:lvlJc w:val="left"/>
        <w:pPr>
          <w:ind w:left="0" w:firstLine="0"/>
        </w:pPr>
        <w:rPr>
          <w:rFonts w:ascii="TT5555EFo00" w:eastAsia="TT5555EFo00" w:hAnsi="TT5555EFo00" w:cs="TT5555EFo00"/>
          <w:color w:val="000000"/>
          <w:position w:val="0"/>
          <w:u w:color="000000"/>
          <w:lang w:val="en-US"/>
        </w:rPr>
      </w:lvl>
    </w:lvlOverride>
    <w:lvlOverride w:ilvl="3">
      <w:lvl w:ilvl="3">
        <w:start w:val="1"/>
        <w:numFmt w:val="decimal"/>
        <w:lvlText w:val="%4."/>
        <w:lvlJc w:val="left"/>
        <w:pPr>
          <w:ind w:left="0" w:firstLine="0"/>
        </w:pPr>
        <w:rPr>
          <w:rFonts w:ascii="TT5555EFo00" w:eastAsia="TT5555EFo00" w:hAnsi="TT5555EFo00" w:cs="TT5555EFo00"/>
          <w:color w:val="000000"/>
          <w:position w:val="0"/>
          <w:u w:color="000000"/>
          <w:lang w:val="en-US"/>
        </w:rPr>
      </w:lvl>
    </w:lvlOverride>
    <w:lvlOverride w:ilvl="4">
      <w:lvl w:ilvl="4">
        <w:start w:val="1"/>
        <w:numFmt w:val="lowerLetter"/>
        <w:lvlText w:val="%5."/>
        <w:lvlJc w:val="left"/>
        <w:pPr>
          <w:ind w:left="0" w:firstLine="0"/>
        </w:pPr>
        <w:rPr>
          <w:rFonts w:ascii="TT5555EFo00" w:eastAsia="TT5555EFo00" w:hAnsi="TT5555EFo00" w:cs="TT5555EFo00"/>
          <w:color w:val="000000"/>
          <w:position w:val="0"/>
          <w:u w:color="000000"/>
          <w:lang w:val="en-US"/>
        </w:rPr>
      </w:lvl>
    </w:lvlOverride>
    <w:lvlOverride w:ilvl="5">
      <w:lvl w:ilvl="5">
        <w:start w:val="1"/>
        <w:numFmt w:val="lowerRoman"/>
        <w:lvlText w:val="%6."/>
        <w:lvlJc w:val="left"/>
        <w:pPr>
          <w:ind w:left="0" w:firstLine="0"/>
        </w:pPr>
        <w:rPr>
          <w:rFonts w:ascii="TT5555EFo00" w:eastAsia="TT5555EFo00" w:hAnsi="TT5555EFo00" w:cs="TT5555EFo00"/>
          <w:color w:val="000000"/>
          <w:position w:val="0"/>
          <w:u w:color="000000"/>
          <w:lang w:val="en-US"/>
        </w:rPr>
      </w:lvl>
    </w:lvlOverride>
    <w:lvlOverride w:ilvl="6">
      <w:lvl w:ilvl="6">
        <w:start w:val="1"/>
        <w:numFmt w:val="decimal"/>
        <w:lvlText w:val="%7."/>
        <w:lvlJc w:val="left"/>
        <w:pPr>
          <w:ind w:left="0" w:firstLine="0"/>
        </w:pPr>
        <w:rPr>
          <w:rFonts w:ascii="TT5555EFo00" w:eastAsia="TT5555EFo00" w:hAnsi="TT5555EFo00" w:cs="TT5555EFo00"/>
          <w:color w:val="000000"/>
          <w:position w:val="0"/>
          <w:u w:color="000000"/>
          <w:lang w:val="en-US"/>
        </w:rPr>
      </w:lvl>
    </w:lvlOverride>
    <w:lvlOverride w:ilvl="7">
      <w:lvl w:ilvl="7">
        <w:start w:val="1"/>
        <w:numFmt w:val="lowerLetter"/>
        <w:lvlText w:val="%8."/>
        <w:lvlJc w:val="left"/>
        <w:pPr>
          <w:ind w:left="0" w:firstLine="0"/>
        </w:pPr>
        <w:rPr>
          <w:rFonts w:ascii="TT5555EFo00" w:eastAsia="TT5555EFo00" w:hAnsi="TT5555EFo00" w:cs="TT5555EFo00"/>
          <w:color w:val="000000"/>
          <w:position w:val="0"/>
          <w:u w:color="000000"/>
          <w:lang w:val="en-US"/>
        </w:rPr>
      </w:lvl>
    </w:lvlOverride>
    <w:lvlOverride w:ilvl="8">
      <w:lvl w:ilvl="8">
        <w:start w:val="1"/>
        <w:numFmt w:val="lowerRoman"/>
        <w:lvlText w:val="%9."/>
        <w:lvlJc w:val="left"/>
        <w:pPr>
          <w:ind w:left="0" w:firstLine="0"/>
        </w:pPr>
        <w:rPr>
          <w:rFonts w:ascii="TT5555EFo00" w:eastAsia="TT5555EFo00" w:hAnsi="TT5555EFo00" w:cs="TT5555EFo00"/>
          <w:color w:val="000000"/>
          <w:position w:val="0"/>
          <w:u w:color="000000"/>
          <w:lang w:val="en-US"/>
        </w:rPr>
      </w:lvl>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 w:ilvl="0">
        <w:start w:val="1"/>
        <w:numFmt w:val="lowerLetter"/>
        <w:lvlText w:val="%1."/>
        <w:lvlJc w:val="left"/>
        <w:pPr>
          <w:ind w:left="360" w:hanging="360"/>
        </w:pPr>
        <w:rPr>
          <w:rFonts w:ascii="Helvetica" w:eastAsia="Helvetica" w:hAnsi="Helvetica" w:cs="Helvetica"/>
          <w:color w:val="000000"/>
          <w:position w:val="0"/>
          <w:u w:color="000000"/>
          <w:lang w:val="en-US"/>
        </w:rPr>
      </w:lvl>
    </w:lvlOverride>
    <w:lvlOverride w:ilvl="1">
      <w:lvl w:ilvl="1">
        <w:start w:val="1"/>
        <w:numFmt w:val="lowerLetter"/>
        <w:lvlText w:val="%2."/>
        <w:lvlJc w:val="left"/>
        <w:pPr>
          <w:ind w:left="1080" w:hanging="360"/>
        </w:pPr>
        <w:rPr>
          <w:rFonts w:ascii="TT5555EFo00" w:eastAsia="TT5555EFo00" w:hAnsi="TT5555EFo00" w:cs="TT5555EFo00"/>
          <w:color w:val="000000"/>
          <w:position w:val="0"/>
          <w:u w:color="000000"/>
          <w:lang w:val="en-US"/>
        </w:rPr>
      </w:lvl>
    </w:lvlOverride>
    <w:lvlOverride w:ilvl="2">
      <w:lvl w:ilvl="2">
        <w:start w:val="1"/>
        <w:numFmt w:val="lowerRoman"/>
        <w:lvlText w:val="%3."/>
        <w:lvlJc w:val="right"/>
        <w:pPr>
          <w:ind w:left="1800" w:hanging="180"/>
        </w:pPr>
        <w:rPr>
          <w:rFonts w:ascii="TT5555EFo00" w:eastAsia="TT5555EFo00" w:hAnsi="TT5555EFo00" w:cs="TT5555EFo00"/>
          <w:color w:val="000000"/>
          <w:position w:val="0"/>
          <w:u w:color="000000"/>
          <w:lang w:val="en-US"/>
        </w:rPr>
      </w:lvl>
    </w:lvlOverride>
    <w:lvlOverride w:ilvl="3">
      <w:lvl w:ilvl="3">
        <w:start w:val="1"/>
        <w:numFmt w:val="decimal"/>
        <w:lvlText w:val="%4."/>
        <w:lvlJc w:val="left"/>
        <w:pPr>
          <w:ind w:left="2520" w:hanging="360"/>
        </w:pPr>
        <w:rPr>
          <w:rFonts w:ascii="TT5555EFo00" w:eastAsia="TT5555EFo00" w:hAnsi="TT5555EFo00" w:cs="TT5555EFo00"/>
          <w:color w:val="000000"/>
          <w:position w:val="0"/>
          <w:u w:color="000000"/>
          <w:lang w:val="en-US"/>
        </w:rPr>
      </w:lvl>
    </w:lvlOverride>
    <w:lvlOverride w:ilvl="4">
      <w:lvl w:ilvl="4">
        <w:start w:val="1"/>
        <w:numFmt w:val="lowerLetter"/>
        <w:lvlText w:val="%5."/>
        <w:lvlJc w:val="left"/>
        <w:pPr>
          <w:ind w:left="3240" w:hanging="360"/>
        </w:pPr>
        <w:rPr>
          <w:rFonts w:ascii="TT5555EFo00" w:eastAsia="TT5555EFo00" w:hAnsi="TT5555EFo00" w:cs="TT5555EFo00"/>
          <w:color w:val="000000"/>
          <w:position w:val="0"/>
          <w:u w:color="000000"/>
          <w:lang w:val="en-US"/>
        </w:rPr>
      </w:lvl>
    </w:lvlOverride>
    <w:lvlOverride w:ilvl="5">
      <w:lvl w:ilvl="5">
        <w:start w:val="1"/>
        <w:numFmt w:val="lowerRoman"/>
        <w:lvlText w:val="%6."/>
        <w:lvlJc w:val="right"/>
        <w:pPr>
          <w:ind w:left="3960" w:hanging="180"/>
        </w:pPr>
        <w:rPr>
          <w:rFonts w:ascii="TT5555EFo00" w:eastAsia="TT5555EFo00" w:hAnsi="TT5555EFo00" w:cs="TT5555EFo00"/>
          <w:color w:val="000000"/>
          <w:position w:val="0"/>
          <w:u w:color="000000"/>
          <w:lang w:val="en-US"/>
        </w:rPr>
      </w:lvl>
    </w:lvlOverride>
    <w:lvlOverride w:ilvl="6">
      <w:lvl w:ilvl="6">
        <w:start w:val="1"/>
        <w:numFmt w:val="decimal"/>
        <w:lvlText w:val="%7."/>
        <w:lvlJc w:val="left"/>
        <w:pPr>
          <w:ind w:left="4680" w:hanging="360"/>
        </w:pPr>
        <w:rPr>
          <w:rFonts w:ascii="TT5555EFo00" w:eastAsia="TT5555EFo00" w:hAnsi="TT5555EFo00" w:cs="TT5555EFo00"/>
          <w:color w:val="000000"/>
          <w:position w:val="0"/>
          <w:u w:color="000000"/>
          <w:lang w:val="en-US"/>
        </w:rPr>
      </w:lvl>
    </w:lvlOverride>
    <w:lvlOverride w:ilvl="7">
      <w:lvl w:ilvl="7">
        <w:start w:val="1"/>
        <w:numFmt w:val="lowerLetter"/>
        <w:lvlText w:val="%8."/>
        <w:lvlJc w:val="left"/>
        <w:pPr>
          <w:ind w:left="5400" w:hanging="360"/>
        </w:pPr>
        <w:rPr>
          <w:rFonts w:ascii="TT5555EFo00" w:eastAsia="TT5555EFo00" w:hAnsi="TT5555EFo00" w:cs="TT5555EFo00"/>
          <w:color w:val="000000"/>
          <w:position w:val="0"/>
          <w:u w:color="000000"/>
          <w:lang w:val="en-US"/>
        </w:rPr>
      </w:lvl>
    </w:lvlOverride>
    <w:lvlOverride w:ilvl="8">
      <w:lvl w:ilvl="8">
        <w:start w:val="1"/>
        <w:numFmt w:val="lowerRoman"/>
        <w:lvlText w:val="%9."/>
        <w:lvlJc w:val="right"/>
        <w:pPr>
          <w:ind w:left="6120" w:hanging="180"/>
        </w:pPr>
        <w:rPr>
          <w:rFonts w:ascii="TT5555EFo00" w:eastAsia="TT5555EFo00" w:hAnsi="TT5555EFo00" w:cs="TT5555EFo00"/>
          <w:color w:val="000000"/>
          <w:position w:val="0"/>
          <w:u w:color="000000"/>
          <w:lang w:val="en-U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DB"/>
    <w:rsid w:val="00097491"/>
    <w:rsid w:val="00170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69982EB-172F-457C-AC0D-65A4CEA8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ADB"/>
    <w:rPr>
      <w:rFonts w:ascii="Arial" w:eastAsiaTheme="minorHAnsi" w:hAnsi="Arial" w:cs="Arial"/>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70ADB"/>
    <w:pPr>
      <w:ind w:left="720"/>
      <w:contextualSpacing/>
    </w:pPr>
  </w:style>
  <w:style w:type="paragraph" w:customStyle="1" w:styleId="Body">
    <w:name w:val="Body"/>
    <w:rsid w:val="00170ADB"/>
    <w:rPr>
      <w:rFonts w:ascii="Arial" w:eastAsia="Arial Unicode MS" w:hAnsi="Arial Unicode MS" w:cs="Arial Unicode MS"/>
      <w:color w:val="000000"/>
      <w:sz w:val="24"/>
      <w:szCs w:val="24"/>
      <w:u w:color="000000"/>
    </w:rPr>
  </w:style>
  <w:style w:type="numbering" w:customStyle="1" w:styleId="List16">
    <w:name w:val="List 16"/>
    <w:rsid w:val="00170ADB"/>
    <w:pPr>
      <w:numPr>
        <w:numId w:val="1"/>
      </w:numPr>
    </w:pPr>
  </w:style>
  <w:style w:type="numbering" w:customStyle="1" w:styleId="List17">
    <w:name w:val="List 17"/>
    <w:rsid w:val="00170ADB"/>
    <w:pPr>
      <w:numPr>
        <w:numId w:val="3"/>
      </w:numPr>
    </w:pPr>
  </w:style>
  <w:style w:type="numbering" w:customStyle="1" w:styleId="List18">
    <w:name w:val="List 18"/>
    <w:rsid w:val="00170ADB"/>
    <w:pPr>
      <w:numPr>
        <w:numId w:val="5"/>
      </w:numPr>
    </w:pPr>
  </w:style>
  <w:style w:type="numbering" w:customStyle="1" w:styleId="List19">
    <w:name w:val="List 19"/>
    <w:rsid w:val="00170ADB"/>
    <w:pPr>
      <w:numPr>
        <w:numId w:val="7"/>
      </w:numPr>
    </w:pPr>
  </w:style>
  <w:style w:type="paragraph" w:styleId="Header">
    <w:name w:val="header"/>
    <w:basedOn w:val="Normal"/>
    <w:link w:val="HeaderChar"/>
    <w:rsid w:val="00170ADB"/>
    <w:pPr>
      <w:tabs>
        <w:tab w:val="center" w:pos="4513"/>
        <w:tab w:val="right" w:pos="9026"/>
      </w:tabs>
    </w:pPr>
  </w:style>
  <w:style w:type="character" w:customStyle="1" w:styleId="HeaderChar">
    <w:name w:val="Header Char"/>
    <w:basedOn w:val="DefaultParagraphFont"/>
    <w:link w:val="Header"/>
    <w:rsid w:val="00170ADB"/>
    <w:rPr>
      <w:rFonts w:ascii="Arial" w:eastAsiaTheme="minorHAnsi" w:hAnsi="Arial" w:cs="Arial"/>
      <w:sz w:val="24"/>
      <w:szCs w:val="24"/>
      <w:lang w:eastAsia="en-US" w:bidi="en-US"/>
    </w:rPr>
  </w:style>
  <w:style w:type="paragraph" w:styleId="Footer">
    <w:name w:val="footer"/>
    <w:basedOn w:val="Normal"/>
    <w:link w:val="FooterChar"/>
    <w:rsid w:val="00170ADB"/>
    <w:pPr>
      <w:tabs>
        <w:tab w:val="center" w:pos="4513"/>
        <w:tab w:val="right" w:pos="9026"/>
      </w:tabs>
    </w:pPr>
  </w:style>
  <w:style w:type="character" w:customStyle="1" w:styleId="FooterChar">
    <w:name w:val="Footer Char"/>
    <w:basedOn w:val="DefaultParagraphFont"/>
    <w:link w:val="Footer"/>
    <w:rsid w:val="00170ADB"/>
    <w:rPr>
      <w:rFonts w:ascii="Arial" w:eastAsiaTheme="minorHAnsi" w:hAnsi="Arial" w:cs="Arial"/>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 Janet</dc:creator>
  <cp:keywords/>
  <dc:description/>
  <cp:lastModifiedBy>Mather, Janet</cp:lastModifiedBy>
  <cp:revision>1</cp:revision>
  <dcterms:created xsi:type="dcterms:W3CDTF">2015-05-23T10:07:00Z</dcterms:created>
  <dcterms:modified xsi:type="dcterms:W3CDTF">2015-05-23T10:08:00Z</dcterms:modified>
</cp:coreProperties>
</file>